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eastAsia="仿宋_GB2312"/>
          <w:sz w:val="32"/>
          <w:szCs w:val="32"/>
        </w:rPr>
      </w:pPr>
    </w:p>
    <w:p>
      <w:pPr>
        <w:spacing w:line="576" w:lineRule="exact"/>
        <w:jc w:val="center"/>
        <w:rPr>
          <w:rFonts w:eastAsia="方正小标宋简体"/>
          <w:sz w:val="44"/>
          <w:szCs w:val="44"/>
        </w:rPr>
      </w:pPr>
      <w:r>
        <w:rPr>
          <w:rFonts w:hint="eastAsia" w:hAnsi="方正小标宋简体" w:eastAsia="方正小标宋简体"/>
          <w:sz w:val="44"/>
          <w:szCs w:val="44"/>
        </w:rPr>
        <w:t>文商旅产业发展扶持政策</w:t>
      </w:r>
      <w:r>
        <w:rPr>
          <w:rFonts w:hAnsi="方正小标宋简体" w:eastAsia="方正小标宋简体"/>
          <w:sz w:val="44"/>
          <w:szCs w:val="44"/>
        </w:rPr>
        <w:t>绩效重点评价报告</w:t>
      </w:r>
    </w:p>
    <w:p>
      <w:pPr>
        <w:spacing w:line="576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76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为进一步规范和加强财政支出管理，客观真实反映财政资金使用效果，推动提高财政资源配置效率，根据《关于开展202</w:t>
      </w:r>
      <w:r>
        <w:rPr>
          <w:rFonts w:hint="eastAsia" w:eastAsia="仿宋_GB2312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>年度预算绩效重点评价工作的通知》（姑苏财〔202</w:t>
      </w:r>
      <w:r>
        <w:rPr>
          <w:rFonts w:hint="eastAsia" w:eastAsia="仿宋_GB2312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>〕</w:t>
      </w:r>
      <w:r>
        <w:rPr>
          <w:rFonts w:hint="eastAsia" w:eastAsia="仿宋_GB2312"/>
          <w:sz w:val="32"/>
          <w:szCs w:val="32"/>
        </w:rPr>
        <w:t>13</w:t>
      </w:r>
      <w:r>
        <w:rPr>
          <w:rFonts w:eastAsia="仿宋_GB2312"/>
          <w:sz w:val="32"/>
          <w:szCs w:val="32"/>
        </w:rPr>
        <w:t>号），姑苏区财政局委托第三方机构对</w:t>
      </w:r>
      <w:r>
        <w:rPr>
          <w:rFonts w:hint="eastAsia" w:eastAsia="仿宋_GB2312"/>
          <w:sz w:val="32"/>
          <w:szCs w:val="32"/>
        </w:rPr>
        <w:t>文商旅产业发展扶持政策</w:t>
      </w:r>
      <w:r>
        <w:rPr>
          <w:rFonts w:eastAsia="仿宋_GB2312"/>
          <w:sz w:val="32"/>
          <w:szCs w:val="32"/>
        </w:rPr>
        <w:t>开展了绩效重点评价工作。</w:t>
      </w:r>
    </w:p>
    <w:p>
      <w:pPr>
        <w:spacing w:line="576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本次绩效评价采用百分制，经评价，综合评分为82.6分，评价等级为</w:t>
      </w:r>
      <w:r>
        <w:rPr>
          <w:rFonts w:hint="eastAsia" w:ascii="仿宋_GB2312" w:eastAsia="仿宋_GB2312"/>
          <w:sz w:val="32"/>
          <w:szCs w:val="32"/>
        </w:rPr>
        <w:t>“良好”</w:t>
      </w:r>
      <w:r>
        <w:rPr>
          <w:rFonts w:eastAsia="仿宋_GB2312"/>
          <w:sz w:val="32"/>
          <w:szCs w:val="32"/>
        </w:rPr>
        <w:t>。现将评价报告简述如下：</w:t>
      </w:r>
      <w:bookmarkStart w:id="0" w:name="_Toc9131"/>
      <w:bookmarkStart w:id="1" w:name="_Toc474418719"/>
      <w:bookmarkStart w:id="2" w:name="_Toc88"/>
      <w:bookmarkStart w:id="3" w:name="_Toc487482416"/>
    </w:p>
    <w:p>
      <w:pPr>
        <w:spacing w:line="576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一、</w:t>
      </w:r>
      <w:bookmarkEnd w:id="0"/>
      <w:bookmarkEnd w:id="1"/>
      <w:bookmarkEnd w:id="2"/>
      <w:bookmarkEnd w:id="3"/>
      <w:bookmarkStart w:id="4" w:name="_Toc487482417"/>
      <w:bookmarkStart w:id="5" w:name="_Toc16096"/>
      <w:bookmarkStart w:id="6" w:name="_Toc474418720"/>
      <w:bookmarkStart w:id="7" w:name="_Toc14358"/>
      <w:r>
        <w:rPr>
          <w:rFonts w:hint="eastAsia" w:ascii="黑体" w:hAnsi="黑体" w:eastAsia="黑体"/>
          <w:bCs/>
          <w:sz w:val="32"/>
          <w:szCs w:val="32"/>
        </w:rPr>
        <w:t>政策概况</w:t>
      </w:r>
    </w:p>
    <w:p>
      <w:pPr>
        <w:spacing w:line="576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</w:t>
      </w:r>
      <w:bookmarkEnd w:id="4"/>
      <w:bookmarkEnd w:id="5"/>
      <w:bookmarkEnd w:id="6"/>
      <w:bookmarkEnd w:id="7"/>
      <w:r>
        <w:rPr>
          <w:rFonts w:hint="eastAsia" w:eastAsia="楷体_GB2312"/>
          <w:sz w:val="32"/>
          <w:szCs w:val="32"/>
        </w:rPr>
        <w:t>政策背景</w:t>
      </w:r>
    </w:p>
    <w:p>
      <w:pPr>
        <w:spacing w:line="576" w:lineRule="exact"/>
        <w:ind w:firstLine="640" w:firstLineChars="200"/>
        <w:rPr>
          <w:rFonts w:eastAsia="仿宋_GB2312"/>
          <w:sz w:val="32"/>
          <w:szCs w:val="32"/>
        </w:rPr>
      </w:pPr>
      <w:bookmarkStart w:id="8" w:name="_Hlk199054752"/>
      <w:bookmarkStart w:id="9" w:name="_Toc14516"/>
      <w:r>
        <w:rPr>
          <w:rFonts w:eastAsia="仿宋_GB2312"/>
          <w:sz w:val="32"/>
          <w:szCs w:val="32"/>
        </w:rPr>
        <w:t>为贯彻落实中央、省、市、区关于文商旅产业高质量发展的决策部署，实施全域旅游发展战略，加快建设文化强区，促进文商旅产业创新发展，根据《姑苏区加快推进文化产业转型升级三年行动计划》、《关于印发〈苏州市全域旅游发展配套政策实施细则〉的通知》（苏旅办〔2017〕100号）等文件精神，姑苏区于2021年制定了《关于促进文商旅产业发展的扶持意见》。</w:t>
      </w:r>
    </w:p>
    <w:p>
      <w:pPr>
        <w:spacing w:line="576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（二）政策构成</w:t>
      </w:r>
    </w:p>
    <w:p>
      <w:pPr>
        <w:spacing w:line="576" w:lineRule="exact"/>
        <w:ind w:firstLine="643" w:firstLineChars="200"/>
        <w:rPr>
          <w:rFonts w:ascii="仿宋_GB2312" w:hAnsi="仿宋" w:eastAsia="仿宋_GB2312"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1</w:t>
      </w:r>
      <w:r>
        <w:rPr>
          <w:rFonts w:hint="eastAsia" w:ascii="仿宋_GB2312" w:hAnsi="楷体" w:eastAsia="仿宋_GB2312"/>
          <w:b/>
          <w:bCs/>
          <w:sz w:val="32"/>
          <w:szCs w:val="32"/>
        </w:rPr>
        <w:t>.政策主要内容。</w:t>
      </w:r>
      <w:r>
        <w:rPr>
          <w:rFonts w:hint="eastAsia" w:ascii="仿宋_GB2312" w:hAnsi="仿宋" w:eastAsia="仿宋_GB2312"/>
          <w:sz w:val="32"/>
          <w:szCs w:val="32"/>
        </w:rPr>
        <w:t>政策主要内容包括支持重大项目建设、引育壮大产业主体、打造特色载体平台、支持重点产业发展、加强人才引进培育、加大文化金融支持、助力产业活动承办、促进特色新消费、加快全域旅游发展等九个方面。</w:t>
      </w:r>
    </w:p>
    <w:p>
      <w:pPr>
        <w:spacing w:line="576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2</w:t>
      </w:r>
      <w:r>
        <w:rPr>
          <w:rFonts w:hint="eastAsia" w:eastAsia="仿宋_GB2312"/>
          <w:b/>
          <w:bCs/>
          <w:sz w:val="32"/>
          <w:szCs w:val="32"/>
        </w:rPr>
        <w:t>.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实施规模和范围。</w:t>
      </w:r>
      <w:r>
        <w:rPr>
          <w:rFonts w:eastAsia="仿宋_GB2312"/>
          <w:sz w:val="32"/>
          <w:szCs w:val="32"/>
        </w:rPr>
        <w:t>2022－2024年，政策累计扶持企业</w:t>
      </w:r>
      <w:bookmarkStart w:id="10" w:name="OLE_LINK23"/>
      <w:bookmarkStart w:id="11" w:name="OLE_LINK22"/>
      <w:r>
        <w:rPr>
          <w:rFonts w:eastAsia="仿宋_GB2312"/>
          <w:sz w:val="32"/>
          <w:szCs w:val="32"/>
        </w:rPr>
        <w:t>（个人）</w:t>
      </w:r>
      <w:bookmarkEnd w:id="10"/>
      <w:bookmarkEnd w:id="11"/>
      <w:r>
        <w:rPr>
          <w:rFonts w:eastAsia="仿宋_GB2312"/>
          <w:sz w:val="32"/>
          <w:szCs w:val="32"/>
        </w:rPr>
        <w:t>360家</w:t>
      </w:r>
      <w:bookmarkStart w:id="12" w:name="OLE_LINK25"/>
      <w:bookmarkStart w:id="13" w:name="OLE_LINK24"/>
      <w:r>
        <w:rPr>
          <w:rFonts w:eastAsia="仿宋_GB2312"/>
          <w:sz w:val="32"/>
          <w:szCs w:val="32"/>
        </w:rPr>
        <w:t>（人）</w:t>
      </w:r>
      <w:bookmarkEnd w:id="12"/>
      <w:bookmarkEnd w:id="13"/>
      <w:r>
        <w:rPr>
          <w:rFonts w:eastAsia="仿宋_GB2312"/>
          <w:sz w:val="32"/>
          <w:szCs w:val="32"/>
        </w:rPr>
        <w:t>次，累计支出3755.37万元。其中，支持重大项目建设方面，</w:t>
      </w:r>
      <w:bookmarkStart w:id="14" w:name="OLE_LINK14"/>
      <w:r>
        <w:rPr>
          <w:rFonts w:eastAsia="仿宋_GB2312"/>
          <w:sz w:val="32"/>
          <w:szCs w:val="32"/>
        </w:rPr>
        <w:t>累计扶持企业21家次，累计支出602万元，资金占比16.03%；</w:t>
      </w:r>
      <w:bookmarkEnd w:id="14"/>
      <w:r>
        <w:rPr>
          <w:rFonts w:eastAsia="仿宋_GB2312"/>
          <w:sz w:val="32"/>
          <w:szCs w:val="32"/>
        </w:rPr>
        <w:t>引育壮大产业主体方面，</w:t>
      </w:r>
      <w:bookmarkStart w:id="15" w:name="OLE_LINK18"/>
      <w:r>
        <w:rPr>
          <w:rFonts w:eastAsia="仿宋_GB2312"/>
          <w:sz w:val="32"/>
          <w:szCs w:val="32"/>
        </w:rPr>
        <w:t>累计扶持企业142家次，累计支出1678.89万元，资金占比44.71%；</w:t>
      </w:r>
      <w:bookmarkEnd w:id="15"/>
      <w:r>
        <w:rPr>
          <w:rFonts w:eastAsia="仿宋_GB2312"/>
          <w:sz w:val="32"/>
          <w:szCs w:val="32"/>
        </w:rPr>
        <w:t>促进特色新消费方面，</w:t>
      </w:r>
      <w:bookmarkStart w:id="16" w:name="OLE_LINK21"/>
      <w:r>
        <w:rPr>
          <w:rFonts w:eastAsia="仿宋_GB2312"/>
          <w:sz w:val="32"/>
          <w:szCs w:val="32"/>
        </w:rPr>
        <w:t>累计扶持企业81家次，累计支出549.53万元，资金占比14.63%</w:t>
      </w:r>
      <w:bookmarkEnd w:id="16"/>
      <w:r>
        <w:rPr>
          <w:rFonts w:eastAsia="仿宋_GB2312"/>
          <w:sz w:val="32"/>
          <w:szCs w:val="32"/>
        </w:rPr>
        <w:t>；加快全域旅游发展方面，累计扶持企业（个人）94家（人）次，累计支出610万元，资金占比16.24%。</w:t>
      </w:r>
    </w:p>
    <w:p>
      <w:pPr>
        <w:spacing w:line="576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3.</w:t>
      </w:r>
      <w:r>
        <w:rPr>
          <w:rFonts w:hint="eastAsia" w:ascii="仿宋_GB2312" w:hAnsi="楷体" w:eastAsia="仿宋_GB2312"/>
          <w:b/>
          <w:bCs/>
          <w:sz w:val="32"/>
          <w:szCs w:val="32"/>
        </w:rPr>
        <w:t>实施期限。</w:t>
      </w:r>
      <w:r>
        <w:rPr>
          <w:rFonts w:eastAsia="仿宋_GB2312"/>
          <w:sz w:val="32"/>
          <w:szCs w:val="32"/>
        </w:rPr>
        <w:t>政策文件于2021年4月28日印发，自发布之日起施行，在上级政策无重大调整的情况下，实施期限为三年。</w:t>
      </w:r>
    </w:p>
    <w:bookmarkEnd w:id="8"/>
    <w:p>
      <w:pPr>
        <w:spacing w:line="576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</w:t>
      </w:r>
      <w:r>
        <w:rPr>
          <w:rFonts w:hint="eastAsia" w:eastAsia="楷体_GB2312"/>
          <w:sz w:val="32"/>
          <w:szCs w:val="32"/>
        </w:rPr>
        <w:t>三</w:t>
      </w:r>
      <w:r>
        <w:rPr>
          <w:rFonts w:eastAsia="楷体_GB2312"/>
          <w:sz w:val="32"/>
          <w:szCs w:val="32"/>
        </w:rPr>
        <w:t>）</w:t>
      </w:r>
      <w:bookmarkEnd w:id="9"/>
      <w:r>
        <w:rPr>
          <w:rFonts w:hint="eastAsia" w:eastAsia="楷体_GB2312"/>
          <w:sz w:val="32"/>
          <w:szCs w:val="32"/>
        </w:rPr>
        <w:t>政策绩效目标</w:t>
      </w:r>
    </w:p>
    <w:p>
      <w:pPr>
        <w:spacing w:line="576" w:lineRule="exact"/>
        <w:ind w:firstLine="643" w:firstLineChars="200"/>
        <w:rPr>
          <w:rFonts w:ascii="仿宋_GB2312" w:hAnsi="仿宋" w:eastAsia="仿宋_GB2312"/>
          <w:sz w:val="32"/>
          <w:szCs w:val="32"/>
        </w:rPr>
      </w:pPr>
      <w:bookmarkStart w:id="17" w:name="_Toc19543"/>
      <w:bookmarkStart w:id="18" w:name="_Toc31399"/>
      <w:bookmarkStart w:id="19" w:name="_Toc22101"/>
      <w:r>
        <w:rPr>
          <w:rFonts w:eastAsia="仿宋_GB2312"/>
          <w:b/>
          <w:bCs/>
          <w:sz w:val="32"/>
          <w:szCs w:val="32"/>
        </w:rPr>
        <w:t>1.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总体目标。</w:t>
      </w:r>
      <w:bookmarkStart w:id="20" w:name="OLE_LINK10"/>
      <w:r>
        <w:rPr>
          <w:rFonts w:hint="eastAsia" w:ascii="仿宋_GB2312" w:hAnsi="仿宋" w:eastAsia="仿宋_GB2312"/>
          <w:sz w:val="32"/>
          <w:szCs w:val="32"/>
        </w:rPr>
        <w:t>实施全域旅游发展战略，加快建设文化强区，激活文化商贸旅游要素，支持重大项目建设，引育壮大产业主体；加快融入长三角一体化发展战略，高质量开展文旅营销；深化“放管服”，激活文商旅产业新业态新模式。</w:t>
      </w:r>
    </w:p>
    <w:bookmarkEnd w:id="20"/>
    <w:p>
      <w:pPr>
        <w:spacing w:line="576" w:lineRule="exact"/>
        <w:ind w:firstLine="643" w:firstLineChars="200"/>
        <w:rPr>
          <w:rFonts w:eastAsia="仿宋_GB2312"/>
          <w:b/>
          <w:bCs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2.年度目标</w:t>
      </w:r>
    </w:p>
    <w:p>
      <w:pPr>
        <w:spacing w:line="576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2022年：</w:t>
      </w:r>
      <w:r>
        <w:rPr>
          <w:rFonts w:eastAsia="仿宋_GB2312"/>
          <w:color w:val="000000"/>
          <w:sz w:val="32"/>
          <w:szCs w:val="32"/>
        </w:rPr>
        <w:t>引进优质企业，优化产业结构。扶持数字文化领域、头部平台等新增投资项目1个以上，扶持文化产业核心领域新增投资项目10个、引进重点文化企业10个；提高产值贡献，打造高标准全域旅游区，扶持规上文化企业30个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、“江南小书场”</w:t>
      </w:r>
      <w:r>
        <w:rPr>
          <w:rFonts w:eastAsia="仿宋_GB2312"/>
          <w:color w:val="000000"/>
          <w:sz w:val="32"/>
          <w:szCs w:val="32"/>
        </w:rPr>
        <w:t>项目10个、重点文旅产业和活动超5个；新纳规上文化企业年度营收额增长率5%以上，文化产业增加值占GDP比重保持全市前列。</w:t>
      </w:r>
    </w:p>
    <w:p>
      <w:pPr>
        <w:spacing w:line="576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2023年：引育壮大全域旅游发展主体，支持重点项目发展，加快全域旅游发展。支持重点产业发展项目1个以上，新招引文化企业6个，新增规上文化企业25家，扶持重大项目和产业活动10个，新增文商旅产业重点项目60个;全年带动文化产业投资超5亿元，特色商业区投入带动比达到200%。</w:t>
      </w:r>
    </w:p>
    <w:p>
      <w:pPr>
        <w:spacing w:line="576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2024年：重点支持产业发展，加大金融支持、助力产业活动承办，加快全域旅游发展。全年扶持旅游项目超20个、文化产业项目超50个，新增规上文化企业10家以上；文化产业增加值占GDP比重全市排名前三；奖补对象满意度90%以上。</w:t>
      </w:r>
    </w:p>
    <w:bookmarkEnd w:id="17"/>
    <w:bookmarkEnd w:id="18"/>
    <w:bookmarkEnd w:id="19"/>
    <w:p>
      <w:pPr>
        <w:spacing w:line="576" w:lineRule="exact"/>
        <w:ind w:firstLine="640" w:firstLineChars="200"/>
        <w:rPr>
          <w:rFonts w:eastAsia="楷体_GB2312"/>
          <w:sz w:val="32"/>
          <w:szCs w:val="32"/>
        </w:rPr>
      </w:pPr>
      <w:bookmarkStart w:id="21" w:name="_Toc27230"/>
      <w:bookmarkStart w:id="22" w:name="_Toc487482420"/>
      <w:bookmarkStart w:id="23" w:name="_Toc474418723"/>
      <w:r>
        <w:rPr>
          <w:rFonts w:hint="eastAsia" w:eastAsia="楷体_GB2312"/>
          <w:sz w:val="32"/>
          <w:szCs w:val="32"/>
        </w:rPr>
        <w:t>（四）预算安排及执行情况</w:t>
      </w:r>
    </w:p>
    <w:p>
      <w:pPr>
        <w:spacing w:line="576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2022－2024年，共安排预算3824.98万元，实际支出3757.51万元。其中，</w:t>
      </w:r>
      <w:bookmarkStart w:id="24" w:name="OLE_LINK8"/>
      <w:bookmarkStart w:id="25" w:name="OLE_LINK9"/>
      <w:r>
        <w:rPr>
          <w:rFonts w:eastAsia="仿宋_GB2312"/>
          <w:kern w:val="0"/>
          <w:sz w:val="32"/>
          <w:szCs w:val="32"/>
        </w:rPr>
        <w:t>2022年安排预算</w:t>
      </w:r>
      <w:r>
        <w:rPr>
          <w:rFonts w:eastAsia="仿宋_GB2312"/>
          <w:sz w:val="32"/>
          <w:szCs w:val="32"/>
        </w:rPr>
        <w:t>1137.98万元，实际支出1137.98万元，预算执行率为100%；</w:t>
      </w:r>
      <w:bookmarkEnd w:id="24"/>
      <w:bookmarkEnd w:id="25"/>
      <w:bookmarkStart w:id="26" w:name="OLE_LINK16"/>
      <w:bookmarkStart w:id="27" w:name="OLE_LINK15"/>
      <w:r>
        <w:rPr>
          <w:rFonts w:eastAsia="仿宋_GB2312"/>
          <w:kern w:val="0"/>
          <w:sz w:val="32"/>
          <w:szCs w:val="32"/>
        </w:rPr>
        <w:t>2023年安排预算</w:t>
      </w:r>
      <w:r>
        <w:rPr>
          <w:rFonts w:eastAsia="仿宋_GB2312"/>
          <w:sz w:val="32"/>
          <w:szCs w:val="32"/>
        </w:rPr>
        <w:t>1500万元，实际支出1486.50万元，预算执行率为99.10%</w:t>
      </w:r>
      <w:bookmarkEnd w:id="26"/>
      <w:bookmarkEnd w:id="27"/>
      <w:r>
        <w:rPr>
          <w:rFonts w:eastAsia="仿宋_GB2312"/>
          <w:sz w:val="32"/>
          <w:szCs w:val="32"/>
        </w:rPr>
        <w:t>；</w:t>
      </w:r>
      <w:r>
        <w:rPr>
          <w:rFonts w:eastAsia="仿宋_GB2312"/>
          <w:kern w:val="0"/>
          <w:sz w:val="32"/>
          <w:szCs w:val="32"/>
        </w:rPr>
        <w:t>2024年安排预算</w:t>
      </w:r>
      <w:r>
        <w:rPr>
          <w:rFonts w:eastAsia="仿宋_GB2312"/>
          <w:sz w:val="32"/>
          <w:szCs w:val="32"/>
        </w:rPr>
        <w:t>1187万元，实际支出1133.03万元，预算执行率为</w:t>
      </w:r>
      <w:r>
        <w:rPr>
          <w:rFonts w:eastAsia="仿宋_GB2312"/>
          <w:kern w:val="0"/>
          <w:sz w:val="32"/>
          <w:szCs w:val="32"/>
        </w:rPr>
        <w:t>95.45</w:t>
      </w:r>
      <w:r>
        <w:rPr>
          <w:rFonts w:eastAsia="仿宋_GB2312"/>
          <w:sz w:val="32"/>
          <w:szCs w:val="32"/>
        </w:rPr>
        <w:t>%。</w:t>
      </w:r>
    </w:p>
    <w:bookmarkEnd w:id="21"/>
    <w:bookmarkEnd w:id="22"/>
    <w:bookmarkEnd w:id="23"/>
    <w:p>
      <w:pPr>
        <w:spacing w:line="576" w:lineRule="exact"/>
        <w:ind w:firstLine="640" w:firstLineChars="200"/>
        <w:rPr>
          <w:rFonts w:hAnsi="黑体" w:eastAsia="黑体"/>
          <w:sz w:val="32"/>
          <w:szCs w:val="32"/>
        </w:rPr>
      </w:pPr>
      <w:bookmarkStart w:id="28" w:name="_Toc7537"/>
      <w:r>
        <w:rPr>
          <w:rFonts w:hAnsi="黑体" w:eastAsia="黑体"/>
          <w:sz w:val="32"/>
          <w:szCs w:val="32"/>
        </w:rPr>
        <w:t>二、</w:t>
      </w:r>
      <w:r>
        <w:rPr>
          <w:rFonts w:hint="eastAsia" w:hAnsi="黑体" w:eastAsia="黑体"/>
          <w:sz w:val="32"/>
          <w:szCs w:val="32"/>
        </w:rPr>
        <w:t>政策</w:t>
      </w:r>
      <w:r>
        <w:rPr>
          <w:rFonts w:hAnsi="黑体" w:eastAsia="黑体"/>
          <w:sz w:val="32"/>
          <w:szCs w:val="32"/>
        </w:rPr>
        <w:t>成效</w:t>
      </w:r>
      <w:bookmarkEnd w:id="28"/>
    </w:p>
    <w:p>
      <w:pPr>
        <w:spacing w:line="576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楷体_GB2312" w:eastAsia="楷体_GB2312"/>
          <w:bCs/>
          <w:sz w:val="32"/>
          <w:szCs w:val="32"/>
        </w:rPr>
        <w:t>（一）</w:t>
      </w:r>
      <w:r>
        <w:rPr>
          <w:rFonts w:hint="eastAsia" w:ascii="楷体_GB2312" w:hAnsi="仿宋" w:eastAsia="楷体_GB2312"/>
          <w:sz w:val="32"/>
          <w:szCs w:val="32"/>
        </w:rPr>
        <w:t>规上企业实现倍增，重点项目建设投产</w:t>
      </w:r>
    </w:p>
    <w:p>
      <w:pPr>
        <w:spacing w:line="576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2024年，姑苏区规上文化企业在库227家，较2021年增加117家，增长106.36%；规上文化企业实现营业收入158.35亿元，较2021年增加79.63亿元，增长101.16%，规上文化企业数量和营业收入均实现翻番。15个文化产业项目入围2024年苏州文</w:t>
      </w:r>
      <w:r>
        <w:rPr>
          <w:rFonts w:hint="eastAsia" w:ascii="仿宋_GB2312" w:hAnsi="仿宋" w:eastAsia="仿宋_GB2312"/>
          <w:sz w:val="32"/>
          <w:szCs w:val="32"/>
        </w:rPr>
        <w:t>化强市“</w:t>
      </w:r>
      <w:r>
        <w:rPr>
          <w:rFonts w:eastAsia="仿宋_GB2312"/>
          <w:sz w:val="32"/>
          <w:szCs w:val="32"/>
        </w:rPr>
        <w:t>811</w:t>
      </w:r>
      <w:r>
        <w:rPr>
          <w:rFonts w:hint="eastAsia" w:ascii="仿宋_GB2312" w:hAnsi="仿宋" w:eastAsia="仿宋_GB2312"/>
          <w:sz w:val="32"/>
          <w:szCs w:val="32"/>
        </w:rPr>
        <w:t>”计划“</w:t>
      </w:r>
      <w:r>
        <w:rPr>
          <w:rFonts w:eastAsia="仿宋_GB2312"/>
          <w:sz w:val="32"/>
          <w:szCs w:val="32"/>
        </w:rPr>
        <w:t>100</w:t>
      </w:r>
      <w:r>
        <w:rPr>
          <w:rFonts w:hint="eastAsia" w:ascii="仿宋_GB2312" w:hAnsi="仿宋" w:eastAsia="仿宋_GB2312"/>
          <w:sz w:val="32"/>
          <w:szCs w:val="32"/>
        </w:rPr>
        <w:t>项重点工程”及市文化产业重点项目计划，总投资</w:t>
      </w:r>
      <w:r>
        <w:rPr>
          <w:rFonts w:eastAsia="仿宋_GB2312"/>
          <w:sz w:val="32"/>
          <w:szCs w:val="32"/>
        </w:rPr>
        <w:t>182.18亿元。开</w:t>
      </w:r>
      <w:r>
        <w:rPr>
          <w:rFonts w:hint="eastAsia" w:ascii="仿宋_GB2312" w:hAnsi="仿宋" w:eastAsia="仿宋_GB2312"/>
          <w:sz w:val="32"/>
          <w:szCs w:val="32"/>
        </w:rPr>
        <w:t>心麻花运河剧场、印象百戏、开明大戏院、德必桃花坞里、上城门垂直文旅街区等重点文旅产业项目顺利实现开业开园。</w:t>
      </w:r>
    </w:p>
    <w:p>
      <w:pPr>
        <w:spacing w:line="576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楷体_GB2312" w:eastAsia="楷体_GB2312"/>
          <w:bCs/>
          <w:sz w:val="32"/>
          <w:szCs w:val="32"/>
        </w:rPr>
        <w:t>（二）</w:t>
      </w:r>
      <w:r>
        <w:rPr>
          <w:rFonts w:hint="eastAsia" w:ascii="楷体_GB2312" w:hAnsi="仿宋" w:eastAsia="楷体_GB2312"/>
          <w:sz w:val="32"/>
          <w:szCs w:val="32"/>
        </w:rPr>
        <w:t>深入实施文旅融合，唱响姑苏旅游品牌</w:t>
      </w:r>
    </w:p>
    <w:p>
      <w:pPr>
        <w:spacing w:line="576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推动打造古城32号街坊、</w:t>
      </w:r>
      <w:r>
        <w:rPr>
          <w:rFonts w:hint="eastAsia" w:ascii="仿宋_GB2312" w:hAnsi="仿宋" w:eastAsia="仿宋_GB2312"/>
          <w:sz w:val="32"/>
          <w:szCs w:val="32"/>
        </w:rPr>
        <w:t>山塘四期、桃花坞、渔家村、五卅路子城等文旅综合片区，擦亮“最江南”招牌。依托文化历史资源和古城稀缺场景，打造“盘门演艺”、“印象百戏”、“桃花依旧唐伯虎”等沉浸式体验项目；依托数字技术，打造“虎丘秘境”、“夜泊枫桥”、“相门城墙光影秀”等数字文旅新业态。自</w:t>
      </w:r>
      <w:r>
        <w:rPr>
          <w:rFonts w:eastAsia="仿宋_GB2312"/>
          <w:sz w:val="32"/>
          <w:szCs w:val="32"/>
        </w:rPr>
        <w:t>2022年以来，姑苏区先后获得首批江苏省级文化和旅游产业融合发展示范区、国家文化产业和旅游产业融合发展示范区建设单位等称号。2024年，姑苏区7家A级景区共接待游客6458.89万人次，同比增长29.26%；营业收入8.54亿元，同比增长10.44%。</w:t>
      </w:r>
    </w:p>
    <w:p>
      <w:pPr>
        <w:spacing w:line="576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楷体_GB2312" w:eastAsia="楷体_GB2312"/>
          <w:bCs/>
          <w:sz w:val="32"/>
          <w:szCs w:val="32"/>
        </w:rPr>
        <w:t>（三）</w:t>
      </w:r>
      <w:r>
        <w:rPr>
          <w:rFonts w:hint="eastAsia" w:ascii="楷体_GB2312" w:hAnsi="仿宋" w:eastAsia="楷体_GB2312"/>
          <w:sz w:val="32"/>
          <w:szCs w:val="32"/>
        </w:rPr>
        <w:t>实施消费促进活动，推动特色街区发展</w:t>
      </w:r>
    </w:p>
    <w:p>
      <w:pPr>
        <w:spacing w:line="576" w:lineRule="exact"/>
        <w:ind w:firstLine="640" w:firstLineChars="200"/>
        <w:rPr>
          <w:rFonts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持续提升街区、商业载体风貌，鼓励引导商业街区举办各类活动，打造商旅文融合的消费场景。创新推出“何以入姑苏”文旅消费季、“十全街漫步生活节”、“衮和</w:t>
      </w:r>
      <w:r>
        <w:rPr>
          <w:rFonts w:eastAsia="仿宋_GB2312"/>
          <w:sz w:val="32"/>
          <w:szCs w:val="32"/>
        </w:rPr>
        <w:t>TA</w:t>
      </w:r>
      <w:r>
        <w:rPr>
          <w:rFonts w:hint="eastAsia" w:ascii="仿宋_GB2312" w:hAnsi="仿宋" w:eastAsia="仿宋_GB2312"/>
          <w:sz w:val="32"/>
          <w:szCs w:val="32"/>
        </w:rPr>
        <w:t>的朋友”数字展、“平江午后约”主题化市集、“山塘早点来”市集等各类展演和消费活动。推动观前街、平江路区域提档升级、融合发展，构建起“</w:t>
      </w:r>
      <w:r>
        <w:rPr>
          <w:rFonts w:eastAsia="仿宋_GB2312"/>
          <w:sz w:val="32"/>
          <w:szCs w:val="32"/>
        </w:rPr>
        <w:t>10</w:t>
      </w:r>
      <w:r>
        <w:rPr>
          <w:rFonts w:hint="eastAsia" w:ascii="仿宋_GB2312" w:hAnsi="仿宋" w:eastAsia="仿宋_GB2312"/>
          <w:sz w:val="32"/>
          <w:szCs w:val="32"/>
        </w:rPr>
        <w:t>分钟步行圈”无障碍通行网络，让传统与现代在街区内和谐共生、交相辉映。观前街区获评国家级夜间文化和旅游消费集聚区，山塘历史文化街区、十全街新获评为第三批省级夜间文旅消费集聚区建设单位。</w:t>
      </w:r>
    </w:p>
    <w:p>
      <w:pPr>
        <w:spacing w:line="576" w:lineRule="exact"/>
        <w:ind w:firstLine="640" w:firstLineChars="200"/>
        <w:rPr>
          <w:rFonts w:eastAsia="黑体"/>
          <w:sz w:val="32"/>
          <w:szCs w:val="32"/>
        </w:rPr>
      </w:pPr>
      <w:bookmarkStart w:id="29" w:name="_Toc2927"/>
      <w:bookmarkStart w:id="30" w:name="_Toc12151"/>
      <w:r>
        <w:rPr>
          <w:rFonts w:hAnsi="黑体" w:eastAsia="黑体"/>
          <w:sz w:val="32"/>
          <w:szCs w:val="32"/>
        </w:rPr>
        <w:t>三、存在问题</w:t>
      </w:r>
      <w:bookmarkEnd w:id="29"/>
      <w:bookmarkEnd w:id="30"/>
    </w:p>
    <w:p>
      <w:pPr>
        <w:spacing w:line="576" w:lineRule="exact"/>
        <w:ind w:firstLine="640" w:firstLineChars="200"/>
        <w:rPr>
          <w:rFonts w:ascii="楷体_GB2312" w:hAnsi="楷体" w:eastAsia="楷体_GB2312"/>
          <w:bCs/>
          <w:sz w:val="32"/>
          <w:szCs w:val="32"/>
        </w:rPr>
      </w:pPr>
      <w:bookmarkStart w:id="31" w:name="_Toc22644"/>
      <w:bookmarkStart w:id="32" w:name="_Toc27608"/>
      <w:bookmarkStart w:id="33" w:name="_Toc363744631"/>
      <w:bookmarkStart w:id="34" w:name="_Toc363743375"/>
      <w:bookmarkStart w:id="35" w:name="_Toc487482432"/>
      <w:r>
        <w:rPr>
          <w:rFonts w:hint="eastAsia" w:ascii="楷体_GB2312" w:eastAsia="楷体_GB2312"/>
          <w:bCs/>
          <w:sz w:val="32"/>
          <w:szCs w:val="32"/>
        </w:rPr>
        <w:t>（一）</w:t>
      </w:r>
      <w:r>
        <w:rPr>
          <w:rFonts w:hint="eastAsia" w:ascii="楷体_GB2312" w:hAnsi="楷体" w:eastAsia="楷体_GB2312"/>
          <w:bCs/>
          <w:sz w:val="32"/>
          <w:szCs w:val="32"/>
        </w:rPr>
        <w:t>前期论证不够充分，政策目标不够完善</w:t>
      </w:r>
    </w:p>
    <w:p>
      <w:pPr>
        <w:spacing w:line="576" w:lineRule="exact"/>
        <w:ind w:firstLine="643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1.前期论证方面。</w:t>
      </w:r>
      <w:r>
        <w:rPr>
          <w:rFonts w:eastAsia="仿宋_GB2312"/>
          <w:bCs/>
          <w:sz w:val="32"/>
          <w:szCs w:val="32"/>
        </w:rPr>
        <w:t>主管部门在制定政策前，未充分开展可行性研究论证，在政策存续期间，部分政策子项未能落地。文商旅产业政策共9类36条，2022-2024年有15条未能实施，占比41.67%。</w:t>
      </w:r>
    </w:p>
    <w:p>
      <w:pPr>
        <w:spacing w:line="576" w:lineRule="exact"/>
        <w:ind w:firstLine="643" w:firstLineChars="200"/>
        <w:rPr>
          <w:rFonts w:ascii="仿宋_GB2312" w:hAnsi="楷体" w:eastAsia="仿宋_GB2312"/>
          <w:bCs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2.政策目标方面。一是</w:t>
      </w:r>
      <w:r>
        <w:rPr>
          <w:rFonts w:eastAsia="仿宋_GB2312"/>
          <w:bCs/>
          <w:sz w:val="32"/>
          <w:szCs w:val="32"/>
        </w:rPr>
        <w:t>未开展事前绩效评估，政策制定了总体预期目标，但均为</w:t>
      </w:r>
      <w:r>
        <w:rPr>
          <w:rFonts w:hint="eastAsia" w:ascii="仿宋_GB2312" w:hAnsi="楷体" w:eastAsia="仿宋_GB2312"/>
          <w:bCs/>
          <w:sz w:val="32"/>
          <w:szCs w:val="32"/>
        </w:rPr>
        <w:t>定性表述，无量化目标，不够清晰、明确，难以判断政策执行完成后是否达到预期目标。</w:t>
      </w:r>
      <w:r>
        <w:rPr>
          <w:rFonts w:hint="eastAsia" w:ascii="仿宋_GB2312" w:hAnsi="楷体" w:eastAsia="仿宋_GB2312"/>
          <w:b/>
          <w:bCs/>
          <w:sz w:val="32"/>
          <w:szCs w:val="32"/>
        </w:rPr>
        <w:t>二是</w:t>
      </w:r>
      <w:r>
        <w:rPr>
          <w:rFonts w:hint="eastAsia" w:ascii="仿宋_GB2312" w:hAnsi="楷体" w:eastAsia="仿宋_GB2312"/>
          <w:bCs/>
          <w:sz w:val="32"/>
          <w:szCs w:val="32"/>
        </w:rPr>
        <w:t>部分年度绩效目标设置不够合理，</w:t>
      </w:r>
      <w:r>
        <w:rPr>
          <w:rFonts w:eastAsia="仿宋_GB2312"/>
          <w:bCs/>
          <w:sz w:val="32"/>
          <w:szCs w:val="32"/>
        </w:rPr>
        <w:t>如2023年</w:t>
      </w:r>
      <w:r>
        <w:rPr>
          <w:rFonts w:eastAsia="仿宋_GB2312"/>
          <w:sz w:val="32"/>
          <w:szCs w:val="32"/>
        </w:rPr>
        <w:t>区经科局计划奖补特色商业项目26个，当年实际奖补22个；</w:t>
      </w:r>
      <w:r>
        <w:rPr>
          <w:rFonts w:eastAsia="仿宋_GB2312"/>
          <w:bCs/>
          <w:sz w:val="32"/>
          <w:szCs w:val="32"/>
        </w:rPr>
        <w:t>2024年区</w:t>
      </w:r>
      <w:r>
        <w:rPr>
          <w:rFonts w:hint="eastAsia" w:ascii="仿宋_GB2312" w:hAnsi="楷体" w:eastAsia="仿宋_GB2312"/>
          <w:bCs/>
          <w:sz w:val="32"/>
          <w:szCs w:val="32"/>
        </w:rPr>
        <w:t>教体文旅委未按政策子项对应设置产出数量目标。</w:t>
      </w:r>
    </w:p>
    <w:p>
      <w:pPr>
        <w:spacing w:line="576" w:lineRule="exact"/>
        <w:ind w:firstLine="640" w:firstLineChars="200"/>
        <w:rPr>
          <w:rFonts w:ascii="楷体_GB2312" w:eastAsia="楷体_GB2312"/>
          <w:bCs/>
          <w:sz w:val="32"/>
          <w:szCs w:val="32"/>
        </w:rPr>
      </w:pPr>
      <w:r>
        <w:rPr>
          <w:rFonts w:hint="eastAsia" w:ascii="楷体_GB2312" w:eastAsia="楷体_GB2312"/>
          <w:bCs/>
          <w:sz w:val="32"/>
          <w:szCs w:val="32"/>
        </w:rPr>
        <w:t>（二）</w:t>
      </w:r>
      <w:bookmarkStart w:id="36" w:name="_Hlk208494950"/>
      <w:r>
        <w:rPr>
          <w:rFonts w:hint="eastAsia" w:ascii="楷体_GB2312" w:eastAsia="楷体_GB2312"/>
          <w:bCs/>
          <w:sz w:val="32"/>
          <w:szCs w:val="32"/>
        </w:rPr>
        <w:t>政策体系不够完备，部门协同不够到位</w:t>
      </w:r>
      <w:bookmarkEnd w:id="36"/>
    </w:p>
    <w:p>
      <w:pPr>
        <w:spacing w:line="576" w:lineRule="exact"/>
        <w:ind w:firstLine="643" w:firstLineChars="200"/>
        <w:rPr>
          <w:rFonts w:hint="eastAsia" w:ascii="仿宋_GB2312" w:hAnsi="楷体" w:eastAsia="仿宋_GB2312"/>
          <w:bCs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1.政策</w:t>
      </w:r>
      <w:r>
        <w:rPr>
          <w:rFonts w:hint="eastAsia" w:ascii="仿宋_GB2312" w:hAnsi="楷体" w:eastAsia="仿宋_GB2312"/>
          <w:b/>
          <w:bCs/>
          <w:sz w:val="32"/>
          <w:szCs w:val="32"/>
        </w:rPr>
        <w:t>体系方面。</w:t>
      </w:r>
      <w:r>
        <w:rPr>
          <w:rFonts w:hint="eastAsia" w:ascii="仿宋_GB2312" w:hAnsi="楷体" w:eastAsia="仿宋_GB2312"/>
          <w:bCs/>
          <w:sz w:val="32"/>
          <w:szCs w:val="32"/>
        </w:rPr>
        <w:t>主管部门未能制定健全的政策实施细则，部分政策的实施标准不够清晰。如</w:t>
      </w:r>
      <w:bookmarkStart w:id="37" w:name="OLE_LINK17"/>
      <w:r>
        <w:rPr>
          <w:rFonts w:hint="eastAsia" w:ascii="仿宋_GB2312" w:hAnsi="楷体" w:eastAsia="仿宋_GB2312"/>
          <w:bCs/>
          <w:sz w:val="32"/>
          <w:szCs w:val="32"/>
        </w:rPr>
        <w:t>在“支持重大项目建设”政策子项中，未对文化产业核心领域新增投资项目实际投资额</w:t>
      </w:r>
      <w:bookmarkEnd w:id="37"/>
      <w:r>
        <w:rPr>
          <w:rFonts w:hint="eastAsia" w:ascii="仿宋_GB2312" w:hAnsi="楷体" w:eastAsia="仿宋_GB2312"/>
          <w:bCs/>
          <w:sz w:val="32"/>
          <w:szCs w:val="32"/>
        </w:rPr>
        <w:t>的范围和标准进行界定，企业在申报过程中普遍存在将运营成本（人员薪资等）纳入实际投资额的情形</w:t>
      </w:r>
      <w:r>
        <w:rPr>
          <w:rFonts w:eastAsia="仿宋_GB2312"/>
          <w:bCs/>
          <w:sz w:val="32"/>
          <w:szCs w:val="32"/>
        </w:rPr>
        <w:t>；在2024年对市级、省级以上重点文旅项目进行奖补时，区教体文旅委对6个项目按项目影响力、投资金额、税收产值贡献因素分档奖补（分30万元、20万元、10万元三档），但未能提供各因素权重与资金分</w:t>
      </w:r>
      <w:r>
        <w:rPr>
          <w:rFonts w:hint="eastAsia" w:ascii="仿宋_GB2312" w:hAnsi="楷体" w:eastAsia="仿宋_GB2312"/>
          <w:bCs/>
          <w:sz w:val="32"/>
          <w:szCs w:val="32"/>
        </w:rPr>
        <w:t>配之间的细化标准。</w:t>
      </w:r>
    </w:p>
    <w:p>
      <w:pPr>
        <w:spacing w:line="576" w:lineRule="exact"/>
        <w:ind w:firstLine="643" w:firstLineChars="200"/>
        <w:rPr>
          <w:rFonts w:eastAsia="仿宋_GB2312"/>
          <w:bCs/>
          <w:sz w:val="32"/>
          <w:szCs w:val="32"/>
          <w:highlight w:val="yellow"/>
        </w:rPr>
      </w:pPr>
      <w:r>
        <w:rPr>
          <w:rFonts w:hint="eastAsia" w:eastAsia="仿宋_GB2312"/>
          <w:b/>
          <w:bCs/>
          <w:sz w:val="32"/>
          <w:szCs w:val="32"/>
        </w:rPr>
        <w:t>2.部</w:t>
      </w:r>
      <w:r>
        <w:rPr>
          <w:rFonts w:hint="eastAsia" w:ascii="仿宋_GB2312" w:hAnsi="楷体" w:eastAsia="仿宋_GB2312"/>
          <w:b/>
          <w:bCs/>
          <w:sz w:val="32"/>
          <w:szCs w:val="32"/>
        </w:rPr>
        <w:t>门协同方面。</w:t>
      </w:r>
      <w:r>
        <w:rPr>
          <w:rFonts w:hint="eastAsia" w:ascii="仿宋_GB2312" w:hAnsi="楷体" w:eastAsia="仿宋_GB2312"/>
          <w:bCs/>
          <w:sz w:val="32"/>
          <w:szCs w:val="32"/>
        </w:rPr>
        <w:t>政策明确“</w:t>
      </w:r>
      <w:bookmarkStart w:id="38" w:name="OLE_LINK4"/>
      <w:r>
        <w:rPr>
          <w:rFonts w:hint="eastAsia" w:ascii="仿宋_GB2312" w:eastAsia="仿宋_GB2312"/>
          <w:color w:val="000000"/>
          <w:sz w:val="32"/>
          <w:szCs w:val="32"/>
        </w:rPr>
        <w:t>同一</w:t>
      </w:r>
      <w:bookmarkEnd w:id="38"/>
      <w:r>
        <w:rPr>
          <w:rFonts w:hint="eastAsia" w:ascii="仿宋_GB2312" w:eastAsia="仿宋_GB2312"/>
          <w:color w:val="000000"/>
          <w:sz w:val="32"/>
          <w:szCs w:val="32"/>
        </w:rPr>
        <w:t>项目符合本政策多项条款的，按就高、从优、不重复原则执行</w:t>
      </w:r>
      <w:r>
        <w:rPr>
          <w:rFonts w:hint="eastAsia" w:ascii="仿宋_GB2312" w:hAnsi="楷体" w:eastAsia="仿宋_GB2312"/>
          <w:bCs/>
          <w:sz w:val="32"/>
          <w:szCs w:val="32"/>
        </w:rPr>
        <w:t>”，但在实际执行过程中，个别项目重复获得奖补。</w:t>
      </w:r>
    </w:p>
    <w:p>
      <w:pPr>
        <w:spacing w:line="576" w:lineRule="exact"/>
        <w:ind w:firstLine="640" w:firstLineChars="200"/>
        <w:rPr>
          <w:rFonts w:ascii="楷体_GB2312" w:eastAsia="楷体_GB2312"/>
          <w:bCs/>
          <w:sz w:val="32"/>
          <w:szCs w:val="32"/>
        </w:rPr>
      </w:pPr>
      <w:r>
        <w:rPr>
          <w:rFonts w:hint="eastAsia" w:ascii="楷体_GB2312" w:eastAsia="楷体_GB2312"/>
          <w:bCs/>
          <w:sz w:val="32"/>
          <w:szCs w:val="32"/>
        </w:rPr>
        <w:t>（三）</w:t>
      </w:r>
      <w:bookmarkStart w:id="39" w:name="_Hlk208514091"/>
      <w:r>
        <w:rPr>
          <w:rFonts w:hint="eastAsia" w:ascii="楷体_GB2312" w:eastAsia="楷体_GB2312"/>
          <w:bCs/>
          <w:sz w:val="32"/>
          <w:szCs w:val="32"/>
        </w:rPr>
        <w:t>组织实施不够及时，政策执行不够规范</w:t>
      </w:r>
      <w:bookmarkEnd w:id="39"/>
    </w:p>
    <w:p>
      <w:pPr>
        <w:spacing w:line="576" w:lineRule="exact"/>
        <w:ind w:firstLine="643" w:firstLineChars="200"/>
        <w:rPr>
          <w:rFonts w:eastAsia="仿宋_GB2312"/>
          <w:bCs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>1.组织实施方面。</w:t>
      </w:r>
      <w:r>
        <w:rPr>
          <w:rFonts w:hint="eastAsia" w:ascii="仿宋_GB2312" w:hAnsi="楷体" w:eastAsia="仿宋_GB2312"/>
          <w:b/>
          <w:bCs/>
          <w:sz w:val="32"/>
          <w:szCs w:val="32"/>
        </w:rPr>
        <w:t>一是</w:t>
      </w:r>
      <w:r>
        <w:rPr>
          <w:rFonts w:hint="eastAsia" w:ascii="仿宋_GB2312" w:hAnsi="楷体" w:eastAsia="仿宋_GB2312"/>
          <w:bCs/>
          <w:sz w:val="32"/>
          <w:szCs w:val="32"/>
        </w:rPr>
        <w:t>组织申报不够及时，政策要求实施部门每年年初制定申报指南，按时序发布项目申报通知，但在实际执行过程中，主管部门未在每年年初制定申报指南，申报通知发布时间参差不齐。</w:t>
      </w:r>
      <w:r>
        <w:rPr>
          <w:rFonts w:eastAsia="仿宋_GB2312"/>
          <w:bCs/>
          <w:sz w:val="32"/>
          <w:szCs w:val="32"/>
        </w:rPr>
        <w:t>如2024年，区教体文旅委分别于4月、5月、9月发布三个批次的项目申报通知，区经科局于8月发布项目申报通知。</w:t>
      </w:r>
      <w:r>
        <w:rPr>
          <w:rFonts w:eastAsia="仿宋_GB2312"/>
          <w:b/>
          <w:bCs/>
          <w:sz w:val="32"/>
          <w:szCs w:val="32"/>
        </w:rPr>
        <w:t>二是</w:t>
      </w:r>
      <w:r>
        <w:rPr>
          <w:rFonts w:eastAsia="仿宋_GB2312"/>
          <w:bCs/>
          <w:sz w:val="32"/>
          <w:szCs w:val="32"/>
        </w:rPr>
        <w:t>部分批次审核及资金下达不够及时，2022-2024年共发布11个批次申报通知，有5个批次审核时间超过3个月（自申报截止至会签完成），有2个批次资金下达时间超过1个月。</w:t>
      </w:r>
    </w:p>
    <w:p>
      <w:pPr>
        <w:spacing w:line="576" w:lineRule="exact"/>
        <w:ind w:firstLine="643" w:firstLineChars="200"/>
        <w:rPr>
          <w:rFonts w:eastAsia="仿宋_GB2312"/>
          <w:bCs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>2.政策执行方面。</w:t>
      </w:r>
      <w:r>
        <w:rPr>
          <w:rFonts w:hint="eastAsia" w:ascii="仿宋_GB2312" w:hAnsi="楷体" w:eastAsia="仿宋_GB2312"/>
          <w:bCs/>
          <w:sz w:val="32"/>
          <w:szCs w:val="32"/>
        </w:rPr>
        <w:t>部分奖补对象不符合政策要求，政策文件明确“原则上政府机构、事业单位（经营性国有企业除外）不作为奖补单位”，但在实际执行过程中，部分项目奖补对象为行政事业单位。</w:t>
      </w:r>
      <w:bookmarkStart w:id="44" w:name="_GoBack"/>
      <w:bookmarkEnd w:id="44"/>
    </w:p>
    <w:p>
      <w:pPr>
        <w:spacing w:line="576" w:lineRule="exact"/>
        <w:ind w:firstLine="640" w:firstLineChars="200"/>
        <w:rPr>
          <w:rFonts w:ascii="楷体" w:hAnsi="楷体" w:eastAsia="楷体"/>
          <w:bCs/>
          <w:sz w:val="32"/>
          <w:szCs w:val="32"/>
        </w:rPr>
      </w:pPr>
      <w:r>
        <w:rPr>
          <w:rFonts w:hint="eastAsia" w:ascii="楷体_GB2312" w:eastAsia="楷体_GB2312"/>
          <w:bCs/>
          <w:sz w:val="32"/>
          <w:szCs w:val="32"/>
        </w:rPr>
        <w:t>（四）</w:t>
      </w:r>
      <w:bookmarkStart w:id="40" w:name="_Hlk208514116"/>
      <w:r>
        <w:rPr>
          <w:rFonts w:hint="eastAsia" w:ascii="楷体_GB2312" w:eastAsia="楷体_GB2312"/>
          <w:bCs/>
          <w:sz w:val="32"/>
          <w:szCs w:val="32"/>
        </w:rPr>
        <w:t>支持方式相对单一，消费潜能仍需激发</w:t>
      </w:r>
      <w:bookmarkEnd w:id="40"/>
    </w:p>
    <w:p>
      <w:pPr>
        <w:spacing w:line="576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>1.支持方式方面。</w:t>
      </w:r>
      <w:r>
        <w:rPr>
          <w:rFonts w:hint="eastAsia" w:ascii="仿宋_GB2312" w:eastAsia="仿宋_GB2312"/>
          <w:sz w:val="32"/>
          <w:szCs w:val="32"/>
        </w:rPr>
        <w:t>政策在执行过程中，采取直接补贴方式对产业发展予以支持，虽然在政策中设置了贷款贴息、担保费补贴等条款，但未能实际执行，产业政策和金融政策未能有效结合，运用金融产品和工具来撬动产业发展的力度不够。</w:t>
      </w:r>
    </w:p>
    <w:p>
      <w:pPr>
        <w:overflowPunct w:val="0"/>
        <w:autoSpaceDE w:val="0"/>
        <w:autoSpaceDN w:val="0"/>
        <w:adjustRightInd w:val="0"/>
        <w:snapToGrid w:val="0"/>
        <w:spacing w:line="576" w:lineRule="exact"/>
        <w:ind w:firstLine="643" w:firstLineChars="200"/>
        <w:textAlignment w:val="baseline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>2.消费数据方面。</w:t>
      </w:r>
      <w:r>
        <w:rPr>
          <w:rFonts w:hint="eastAsia" w:ascii="仿宋_GB2312" w:eastAsia="仿宋_GB2312"/>
          <w:sz w:val="32"/>
          <w:szCs w:val="32"/>
        </w:rPr>
        <w:t>从姑苏区社会消费品零售总额增速来看，</w:t>
      </w:r>
      <w:r>
        <w:rPr>
          <w:rFonts w:eastAsia="仿宋_GB2312"/>
          <w:sz w:val="32"/>
          <w:szCs w:val="32"/>
        </w:rPr>
        <w:t>2022-2024年分别为-0.84%、6.35%、4.18%，未能超过苏州市同期增速（分别为-0.23%、6.35%、4.81%）；从姑苏区人均旅游收入来看，2021-2023年分别为2056元、1973元、1831元，呈逐年下降趋势（2024年苏州市未公布各板块同口径数据），消费潜能仍需持续激发。</w:t>
      </w:r>
    </w:p>
    <w:p>
      <w:pPr>
        <w:spacing w:line="576" w:lineRule="exact"/>
        <w:ind w:firstLine="640" w:firstLineChars="200"/>
        <w:rPr>
          <w:rFonts w:hAnsi="黑体"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四、相关建议</w:t>
      </w:r>
      <w:bookmarkEnd w:id="31"/>
      <w:bookmarkEnd w:id="32"/>
      <w:bookmarkStart w:id="41" w:name="_Toc11919"/>
    </w:p>
    <w:p>
      <w:pPr>
        <w:spacing w:line="576" w:lineRule="exact"/>
        <w:ind w:firstLine="640" w:firstLineChars="200"/>
        <w:rPr>
          <w:rFonts w:ascii="楷体_GB2312" w:eastAsia="楷体_GB2312"/>
          <w:bCs/>
          <w:sz w:val="32"/>
          <w:szCs w:val="32"/>
        </w:rPr>
      </w:pPr>
      <w:r>
        <w:rPr>
          <w:rFonts w:hint="eastAsia" w:ascii="楷体_GB2312" w:eastAsia="楷体_GB2312"/>
          <w:bCs/>
          <w:sz w:val="32"/>
          <w:szCs w:val="32"/>
        </w:rPr>
        <w:t>（一）</w:t>
      </w:r>
      <w:bookmarkStart w:id="42" w:name="_Hlk208514155"/>
      <w:r>
        <w:rPr>
          <w:rFonts w:hint="eastAsia" w:ascii="楷体_GB2312" w:eastAsia="楷体_GB2312"/>
          <w:bCs/>
          <w:sz w:val="32"/>
          <w:szCs w:val="32"/>
        </w:rPr>
        <w:t>加强政策研究论证，强化政策绩效管理</w:t>
      </w:r>
      <w:bookmarkEnd w:id="42"/>
    </w:p>
    <w:p>
      <w:pPr>
        <w:spacing w:line="576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一是</w:t>
      </w:r>
      <w:r>
        <w:rPr>
          <w:rFonts w:hint="eastAsia" w:ascii="仿宋_GB2312" w:eastAsia="仿宋_GB2312"/>
          <w:sz w:val="32"/>
          <w:szCs w:val="32"/>
        </w:rPr>
        <w:t>坚持问题导向，主管部门应加强政策可行性研究论证，深入分析文商旅产业发展现状和制约因素，注重企业需求调研，优化产业政策内容，提升产业政策的精准性和落地率。</w:t>
      </w:r>
      <w:r>
        <w:rPr>
          <w:rFonts w:hint="eastAsia" w:ascii="仿宋_GB2312" w:eastAsia="仿宋_GB2312"/>
          <w:b/>
          <w:sz w:val="32"/>
          <w:szCs w:val="32"/>
        </w:rPr>
        <w:t>二是</w:t>
      </w:r>
      <w:r>
        <w:rPr>
          <w:rFonts w:hint="eastAsia" w:ascii="仿宋_GB2312" w:eastAsia="仿宋_GB2312"/>
          <w:sz w:val="32"/>
          <w:szCs w:val="32"/>
        </w:rPr>
        <w:t>坚持目标导向，主管部门应加强政策绩效评估论证，量化设置政策总体预期目标，科学设置政策年度产出和效益指标，有效发挥绩效目标对政策执行的牵引约束作用。</w:t>
      </w:r>
      <w:r>
        <w:rPr>
          <w:rFonts w:hint="eastAsia" w:ascii="仿宋_GB2312" w:eastAsia="仿宋_GB2312"/>
          <w:b/>
          <w:sz w:val="32"/>
          <w:szCs w:val="32"/>
        </w:rPr>
        <w:t>三是</w:t>
      </w:r>
      <w:r>
        <w:rPr>
          <w:rFonts w:hint="eastAsia" w:ascii="仿宋_GB2312" w:eastAsia="仿宋_GB2312"/>
          <w:sz w:val="32"/>
          <w:szCs w:val="32"/>
        </w:rPr>
        <w:t>坚持结果导向，主管部门应规范开展年度绩效自评价工作，客观分析政策执行的阶段性效果和资金使用情况，对存在的问题应制定针对性解决措施，保障政策总体目标达成度。</w:t>
      </w:r>
    </w:p>
    <w:p>
      <w:pPr>
        <w:spacing w:line="576" w:lineRule="exact"/>
        <w:ind w:firstLine="640" w:firstLineChars="200"/>
        <w:rPr>
          <w:rFonts w:ascii="楷体_GB2312" w:eastAsia="楷体_GB2312"/>
          <w:bCs/>
          <w:sz w:val="32"/>
          <w:szCs w:val="32"/>
        </w:rPr>
      </w:pPr>
      <w:r>
        <w:rPr>
          <w:rFonts w:hint="eastAsia" w:ascii="楷体_GB2312" w:eastAsia="楷体_GB2312"/>
          <w:bCs/>
          <w:sz w:val="32"/>
          <w:szCs w:val="32"/>
        </w:rPr>
        <w:t>（二）完善政策细则体系，规范政策组织实施</w:t>
      </w:r>
    </w:p>
    <w:p>
      <w:pPr>
        <w:spacing w:line="576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一是</w:t>
      </w:r>
      <w:r>
        <w:rPr>
          <w:rFonts w:hint="eastAsia" w:ascii="仿宋_GB2312" w:eastAsia="仿宋_GB2312"/>
          <w:sz w:val="32"/>
          <w:szCs w:val="32"/>
        </w:rPr>
        <w:t>建立健全政策实施细则体系，主管部门应明确政策各子项内容实施标准，统一政策执行尺度，减少政策执行弹性，规范政策执行过程中自由裁量权的使用。</w:t>
      </w:r>
      <w:r>
        <w:rPr>
          <w:rFonts w:hint="eastAsia" w:ascii="仿宋_GB2312" w:eastAsia="仿宋_GB2312"/>
          <w:b/>
          <w:sz w:val="32"/>
          <w:szCs w:val="32"/>
        </w:rPr>
        <w:t>二是</w:t>
      </w:r>
      <w:r>
        <w:rPr>
          <w:rFonts w:hint="eastAsia" w:ascii="仿宋_GB2312" w:eastAsia="仿宋_GB2312"/>
          <w:sz w:val="32"/>
          <w:szCs w:val="32"/>
        </w:rPr>
        <w:t>深化部门协同配合，主管部门应按照</w:t>
      </w:r>
      <w:r>
        <w:rPr>
          <w:rFonts w:hint="eastAsia" w:ascii="仿宋_GB2312" w:eastAsia="仿宋_GB2312"/>
          <w:color w:val="000000"/>
          <w:sz w:val="32"/>
          <w:szCs w:val="32"/>
        </w:rPr>
        <w:t>就高、从优、不重复原则，加强企业申报项目的信息交互和共同研判，对以往年度重复支持的项目，主管部门应按规定进行处理。</w:t>
      </w:r>
      <w:r>
        <w:rPr>
          <w:rFonts w:hint="eastAsia" w:ascii="仿宋_GB2312" w:eastAsia="仿宋_GB2312"/>
          <w:b/>
          <w:sz w:val="32"/>
          <w:szCs w:val="32"/>
        </w:rPr>
        <w:t>三是</w:t>
      </w:r>
      <w:r>
        <w:rPr>
          <w:rFonts w:hint="eastAsia" w:ascii="仿宋_GB2312" w:eastAsia="仿宋_GB2312"/>
          <w:sz w:val="32"/>
          <w:szCs w:val="32"/>
        </w:rPr>
        <w:t>提高政策实施效率，主管部门应按照能快则快、直达快享原则，明确项目申报、项目审核、资金下达的时间计划和时限要求，持续提升辖区企业获得感。</w:t>
      </w:r>
      <w:r>
        <w:rPr>
          <w:rFonts w:hint="eastAsia" w:ascii="仿宋_GB2312" w:eastAsia="仿宋_GB2312"/>
          <w:b/>
          <w:sz w:val="32"/>
          <w:szCs w:val="32"/>
        </w:rPr>
        <w:t>四是</w:t>
      </w:r>
      <w:r>
        <w:rPr>
          <w:rFonts w:hint="eastAsia" w:ascii="仿宋_GB2312" w:eastAsia="仿宋_GB2312"/>
          <w:sz w:val="32"/>
          <w:szCs w:val="32"/>
        </w:rPr>
        <w:t>提升政策执行规范性，加强对项目申报材料的审核，准确界定奖补对象和奖补范围，严格执行政策文件规定的奖补条件。</w:t>
      </w:r>
    </w:p>
    <w:p>
      <w:pPr>
        <w:spacing w:line="576" w:lineRule="exact"/>
        <w:ind w:firstLine="640" w:firstLineChars="200"/>
        <w:rPr>
          <w:rFonts w:ascii="楷体_GB2312" w:eastAsia="楷体_GB2312"/>
          <w:bCs/>
          <w:sz w:val="32"/>
          <w:szCs w:val="32"/>
        </w:rPr>
      </w:pPr>
      <w:r>
        <w:rPr>
          <w:rFonts w:hint="eastAsia" w:ascii="楷体_GB2312" w:eastAsia="楷体_GB2312"/>
          <w:bCs/>
          <w:sz w:val="32"/>
          <w:szCs w:val="32"/>
        </w:rPr>
        <w:t>（三）</w:t>
      </w:r>
      <w:bookmarkStart w:id="43" w:name="_Hlk208514214"/>
      <w:r>
        <w:rPr>
          <w:rFonts w:hint="eastAsia" w:ascii="楷体_GB2312" w:eastAsia="楷体_GB2312"/>
          <w:bCs/>
          <w:sz w:val="32"/>
          <w:szCs w:val="32"/>
        </w:rPr>
        <w:t>丰富政策支持方式，持续激发消费潜能</w:t>
      </w:r>
      <w:bookmarkEnd w:id="43"/>
    </w:p>
    <w:p>
      <w:pPr>
        <w:spacing w:line="576" w:lineRule="exact"/>
        <w:ind w:firstLine="643" w:firstLineChars="200"/>
        <w:rPr>
          <w:rFonts w:hAnsi="黑体" w:eastAsia="黑体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一是</w:t>
      </w:r>
      <w:r>
        <w:rPr>
          <w:rFonts w:hint="eastAsia" w:ascii="仿宋_GB2312" w:eastAsia="仿宋_GB2312"/>
          <w:sz w:val="32"/>
          <w:szCs w:val="32"/>
        </w:rPr>
        <w:t>逐步推动政策支持方式从无偿支持向牵引撬动转变，组合运用好贷款贴息、担保费补贴等政策，撬动金融资源、社会资本流向文商旅产业，放大财政资金对产业发展的支持效果，把产业政策与金融政策等更好地结合起来，把财政资金效益充分激发出来，把市场潜力充分释放出来。</w:t>
      </w:r>
      <w:r>
        <w:rPr>
          <w:rFonts w:hint="eastAsia" w:ascii="仿宋_GB2312" w:eastAsia="仿宋_GB2312"/>
          <w:b/>
          <w:sz w:val="32"/>
          <w:szCs w:val="32"/>
        </w:rPr>
        <w:t>二是</w:t>
      </w:r>
      <w:r>
        <w:rPr>
          <w:rFonts w:hint="eastAsia" w:ascii="仿宋_GB2312" w:eastAsia="仿宋_GB2312"/>
          <w:sz w:val="32"/>
          <w:szCs w:val="32"/>
        </w:rPr>
        <w:t>加大优质产品供给，持续打造</w:t>
      </w:r>
      <w:r>
        <w:rPr>
          <w:rFonts w:hint="eastAsia" w:ascii="仿宋_GB2312" w:hAnsi="黑体" w:eastAsia="仿宋_GB2312"/>
          <w:sz w:val="32"/>
          <w:szCs w:val="32"/>
        </w:rPr>
        <w:t>旅游网红地，吸引游客前来打卡、消费并传播；深耕“江南文化”标识打造，开发个性化、精品化文旅项目，开拓高端文旅市场；加强“中华老字号”品牌和非遗代表性项目的产业化开发，持续扩大品牌影响力；注重宣传推广，充分释放文商旅资源价值，持续提升产业形象和品牌美誉度。</w:t>
      </w:r>
      <w:bookmarkEnd w:id="33"/>
      <w:bookmarkEnd w:id="34"/>
      <w:bookmarkEnd w:id="35"/>
      <w:bookmarkEnd w:id="41"/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 PAGE   \* MERGEFORMAT 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  <w:lang w:val="zh-CN"/>
      </w:rPr>
      <w:t>-</w:t>
    </w:r>
    <w:r>
      <w:rPr>
        <w:rFonts w:ascii="Times New Roman" w:hAnsi="Times New Roman" w:cs="Times New Roman"/>
        <w:sz w:val="28"/>
        <w:szCs w:val="28"/>
      </w:rPr>
      <w:t xml:space="preserve"> 9 -</w:t>
    </w:r>
    <w:r>
      <w:rPr>
        <w:rFonts w:ascii="Times New Roman" w:hAnsi="Times New Roman" w:cs="Times New Roman"/>
        <w:sz w:val="28"/>
        <w:szCs w:val="28"/>
      </w:rPr>
      <w:fldChar w:fldCharType="end"/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2E7"/>
    <w:rsid w:val="000152E1"/>
    <w:rsid w:val="000401DA"/>
    <w:rsid w:val="0005272C"/>
    <w:rsid w:val="00057E2F"/>
    <w:rsid w:val="0006204F"/>
    <w:rsid w:val="0007277C"/>
    <w:rsid w:val="000857F2"/>
    <w:rsid w:val="00093075"/>
    <w:rsid w:val="000B7901"/>
    <w:rsid w:val="000C49EA"/>
    <w:rsid w:val="000D03EC"/>
    <w:rsid w:val="000D64F2"/>
    <w:rsid w:val="000D7BAC"/>
    <w:rsid w:val="000E46F8"/>
    <w:rsid w:val="00132EC4"/>
    <w:rsid w:val="00146190"/>
    <w:rsid w:val="0014657E"/>
    <w:rsid w:val="00147CCC"/>
    <w:rsid w:val="001607D0"/>
    <w:rsid w:val="001662DC"/>
    <w:rsid w:val="0019095B"/>
    <w:rsid w:val="00195775"/>
    <w:rsid w:val="001A273E"/>
    <w:rsid w:val="001D0B06"/>
    <w:rsid w:val="001F5702"/>
    <w:rsid w:val="002002B4"/>
    <w:rsid w:val="002250B9"/>
    <w:rsid w:val="00240A64"/>
    <w:rsid w:val="00256879"/>
    <w:rsid w:val="002840A5"/>
    <w:rsid w:val="00287414"/>
    <w:rsid w:val="002A2DE0"/>
    <w:rsid w:val="002C508A"/>
    <w:rsid w:val="002C7664"/>
    <w:rsid w:val="0031558F"/>
    <w:rsid w:val="0033017D"/>
    <w:rsid w:val="003375CC"/>
    <w:rsid w:val="00372D57"/>
    <w:rsid w:val="00382F17"/>
    <w:rsid w:val="00383EED"/>
    <w:rsid w:val="003A784C"/>
    <w:rsid w:val="003C267B"/>
    <w:rsid w:val="00467552"/>
    <w:rsid w:val="00484178"/>
    <w:rsid w:val="00484699"/>
    <w:rsid w:val="00487F90"/>
    <w:rsid w:val="0049207E"/>
    <w:rsid w:val="0049630B"/>
    <w:rsid w:val="004A065D"/>
    <w:rsid w:val="004B6218"/>
    <w:rsid w:val="004B7DA0"/>
    <w:rsid w:val="004C5350"/>
    <w:rsid w:val="004D0269"/>
    <w:rsid w:val="004D42E7"/>
    <w:rsid w:val="004D6200"/>
    <w:rsid w:val="004D6A83"/>
    <w:rsid w:val="004E4006"/>
    <w:rsid w:val="004E6661"/>
    <w:rsid w:val="004F59D5"/>
    <w:rsid w:val="004F653A"/>
    <w:rsid w:val="00500AD1"/>
    <w:rsid w:val="00511660"/>
    <w:rsid w:val="00513A64"/>
    <w:rsid w:val="00522044"/>
    <w:rsid w:val="005347A8"/>
    <w:rsid w:val="00543475"/>
    <w:rsid w:val="005756B7"/>
    <w:rsid w:val="00585034"/>
    <w:rsid w:val="00586A86"/>
    <w:rsid w:val="005947CC"/>
    <w:rsid w:val="005A5DE4"/>
    <w:rsid w:val="005B084A"/>
    <w:rsid w:val="005B1B7C"/>
    <w:rsid w:val="005B440C"/>
    <w:rsid w:val="005C3313"/>
    <w:rsid w:val="005D750B"/>
    <w:rsid w:val="00632310"/>
    <w:rsid w:val="006407F8"/>
    <w:rsid w:val="0065098C"/>
    <w:rsid w:val="006543CE"/>
    <w:rsid w:val="006751AD"/>
    <w:rsid w:val="00681784"/>
    <w:rsid w:val="00683263"/>
    <w:rsid w:val="006947B4"/>
    <w:rsid w:val="006A19D1"/>
    <w:rsid w:val="006C2619"/>
    <w:rsid w:val="006D042A"/>
    <w:rsid w:val="006E78DA"/>
    <w:rsid w:val="006F47F9"/>
    <w:rsid w:val="0071614E"/>
    <w:rsid w:val="0072367D"/>
    <w:rsid w:val="00724A79"/>
    <w:rsid w:val="007342A2"/>
    <w:rsid w:val="00735A7A"/>
    <w:rsid w:val="007717E3"/>
    <w:rsid w:val="00775090"/>
    <w:rsid w:val="0078304F"/>
    <w:rsid w:val="007B3805"/>
    <w:rsid w:val="007B7425"/>
    <w:rsid w:val="007C0163"/>
    <w:rsid w:val="007C097A"/>
    <w:rsid w:val="007C5E52"/>
    <w:rsid w:val="007D675D"/>
    <w:rsid w:val="007D7102"/>
    <w:rsid w:val="007F48BD"/>
    <w:rsid w:val="00801777"/>
    <w:rsid w:val="008109C5"/>
    <w:rsid w:val="00814517"/>
    <w:rsid w:val="00835A97"/>
    <w:rsid w:val="008612BB"/>
    <w:rsid w:val="008656BA"/>
    <w:rsid w:val="00866833"/>
    <w:rsid w:val="00875FCB"/>
    <w:rsid w:val="00881933"/>
    <w:rsid w:val="00885706"/>
    <w:rsid w:val="008B57D2"/>
    <w:rsid w:val="008C1985"/>
    <w:rsid w:val="009168F6"/>
    <w:rsid w:val="00924478"/>
    <w:rsid w:val="0093634E"/>
    <w:rsid w:val="00947102"/>
    <w:rsid w:val="009770B0"/>
    <w:rsid w:val="0098765B"/>
    <w:rsid w:val="00991E4E"/>
    <w:rsid w:val="009A5E05"/>
    <w:rsid w:val="009B17EC"/>
    <w:rsid w:val="009C3052"/>
    <w:rsid w:val="009F031A"/>
    <w:rsid w:val="00A044F3"/>
    <w:rsid w:val="00A06B74"/>
    <w:rsid w:val="00A1636B"/>
    <w:rsid w:val="00A17572"/>
    <w:rsid w:val="00A26E44"/>
    <w:rsid w:val="00A354CA"/>
    <w:rsid w:val="00A40CB5"/>
    <w:rsid w:val="00A43ACF"/>
    <w:rsid w:val="00A519EB"/>
    <w:rsid w:val="00A601A2"/>
    <w:rsid w:val="00A67A90"/>
    <w:rsid w:val="00AC6F32"/>
    <w:rsid w:val="00AC773B"/>
    <w:rsid w:val="00AF201A"/>
    <w:rsid w:val="00B1275C"/>
    <w:rsid w:val="00B37890"/>
    <w:rsid w:val="00B868C4"/>
    <w:rsid w:val="00B9456B"/>
    <w:rsid w:val="00BA40CA"/>
    <w:rsid w:val="00BA46CA"/>
    <w:rsid w:val="00BA6F9C"/>
    <w:rsid w:val="00BF58B3"/>
    <w:rsid w:val="00C1718C"/>
    <w:rsid w:val="00C235C1"/>
    <w:rsid w:val="00C41DD5"/>
    <w:rsid w:val="00C44A5C"/>
    <w:rsid w:val="00C571AA"/>
    <w:rsid w:val="00C76909"/>
    <w:rsid w:val="00C77863"/>
    <w:rsid w:val="00C8178C"/>
    <w:rsid w:val="00C95652"/>
    <w:rsid w:val="00CA02EE"/>
    <w:rsid w:val="00CC548A"/>
    <w:rsid w:val="00CD1055"/>
    <w:rsid w:val="00CD77CF"/>
    <w:rsid w:val="00CE0265"/>
    <w:rsid w:val="00CE4EB8"/>
    <w:rsid w:val="00CF4D6F"/>
    <w:rsid w:val="00D04202"/>
    <w:rsid w:val="00D20CFA"/>
    <w:rsid w:val="00D21A5B"/>
    <w:rsid w:val="00D44C75"/>
    <w:rsid w:val="00D5469A"/>
    <w:rsid w:val="00D63D11"/>
    <w:rsid w:val="00D80FEC"/>
    <w:rsid w:val="00D91473"/>
    <w:rsid w:val="00D9589A"/>
    <w:rsid w:val="00DB16F4"/>
    <w:rsid w:val="00E06A15"/>
    <w:rsid w:val="00E31DF3"/>
    <w:rsid w:val="00E34262"/>
    <w:rsid w:val="00E34BA1"/>
    <w:rsid w:val="00E35E36"/>
    <w:rsid w:val="00E60ED5"/>
    <w:rsid w:val="00E76556"/>
    <w:rsid w:val="00E801AA"/>
    <w:rsid w:val="00EB01E1"/>
    <w:rsid w:val="00EC7428"/>
    <w:rsid w:val="00ED4E33"/>
    <w:rsid w:val="00EE3EE1"/>
    <w:rsid w:val="00F0768D"/>
    <w:rsid w:val="00F631FF"/>
    <w:rsid w:val="00F6342C"/>
    <w:rsid w:val="00FB1978"/>
    <w:rsid w:val="00FE7C34"/>
    <w:rsid w:val="00FF0AE4"/>
    <w:rsid w:val="00FF2CD6"/>
    <w:rsid w:val="00FF365B"/>
    <w:rsid w:val="00FF4C7F"/>
    <w:rsid w:val="14BD567D"/>
    <w:rsid w:val="2396149E"/>
    <w:rsid w:val="5A460EEE"/>
    <w:rsid w:val="D9F89FB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2"/>
    <w:semiHidden/>
    <w:unhideWhenUsed/>
    <w:qFormat/>
    <w:uiPriority w:val="99"/>
    <w:pPr>
      <w:jc w:val="left"/>
    </w:pPr>
  </w:style>
  <w:style w:type="paragraph" w:styleId="4">
    <w:name w:val="endnote text"/>
    <w:basedOn w:val="1"/>
    <w:link w:val="27"/>
    <w:semiHidden/>
    <w:unhideWhenUsed/>
    <w:qFormat/>
    <w:uiPriority w:val="99"/>
    <w:pPr>
      <w:snapToGrid w:val="0"/>
      <w:jc w:val="left"/>
    </w:pPr>
  </w:style>
  <w:style w:type="paragraph" w:styleId="5">
    <w:name w:val="Balloon Text"/>
    <w:basedOn w:val="1"/>
    <w:link w:val="24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footnote text"/>
    <w:basedOn w:val="1"/>
    <w:link w:val="26"/>
    <w:unhideWhenUsed/>
    <w:qFormat/>
    <w:uiPriority w:val="99"/>
    <w:pPr>
      <w:snapToGrid w:val="0"/>
      <w:jc w:val="left"/>
    </w:pPr>
    <w:rPr>
      <w:rFonts w:ascii="Calibri" w:hAnsi="Calibri" w:cs="Calibri"/>
      <w:sz w:val="18"/>
      <w:szCs w:val="18"/>
    </w:rPr>
  </w:style>
  <w:style w:type="paragraph" w:styleId="9">
    <w:name w:val="annotation subject"/>
    <w:basedOn w:val="3"/>
    <w:next w:val="3"/>
    <w:link w:val="23"/>
    <w:semiHidden/>
    <w:unhideWhenUsed/>
    <w:qFormat/>
    <w:uiPriority w:val="99"/>
    <w:rPr>
      <w:b/>
      <w:bCs/>
    </w:rPr>
  </w:style>
  <w:style w:type="character" w:styleId="12">
    <w:name w:val="endnote reference"/>
    <w:basedOn w:val="11"/>
    <w:semiHidden/>
    <w:unhideWhenUsed/>
    <w:qFormat/>
    <w:uiPriority w:val="99"/>
    <w:rPr>
      <w:vertAlign w:val="superscript"/>
    </w:rPr>
  </w:style>
  <w:style w:type="character" w:styleId="13">
    <w:name w:val="Hyperlink"/>
    <w:basedOn w:val="1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styleId="15">
    <w:name w:val="footnote reference"/>
    <w:basedOn w:val="11"/>
    <w:semiHidden/>
    <w:unhideWhenUsed/>
    <w:qFormat/>
    <w:uiPriority w:val="99"/>
    <w:rPr>
      <w:vertAlign w:val="superscript"/>
    </w:rPr>
  </w:style>
  <w:style w:type="character" w:customStyle="1" w:styleId="16">
    <w:name w:val="页眉 Char"/>
    <w:basedOn w:val="11"/>
    <w:link w:val="7"/>
    <w:qFormat/>
    <w:uiPriority w:val="99"/>
    <w:rPr>
      <w:sz w:val="18"/>
      <w:szCs w:val="18"/>
    </w:rPr>
  </w:style>
  <w:style w:type="character" w:customStyle="1" w:styleId="17">
    <w:name w:val="页脚 Char"/>
    <w:basedOn w:val="11"/>
    <w:link w:val="6"/>
    <w:qFormat/>
    <w:uiPriority w:val="99"/>
    <w:rPr>
      <w:sz w:val="18"/>
      <w:szCs w:val="18"/>
    </w:rPr>
  </w:style>
  <w:style w:type="character" w:customStyle="1" w:styleId="18">
    <w:name w:val="标题 1 Char"/>
    <w:basedOn w:val="11"/>
    <w:link w:val="2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customStyle="1" w:styleId="19">
    <w:name w:val="段"/>
    <w:next w:val="1"/>
    <w:qFormat/>
    <w:uiPriority w:val="0"/>
    <w:pPr>
      <w:autoSpaceDE w:val="0"/>
      <w:autoSpaceDN w:val="0"/>
      <w:ind w:firstLine="200"/>
      <w:jc w:val="both"/>
    </w:pPr>
    <w:rPr>
      <w:rFonts w:ascii="宋体" w:hAnsi="Times New Roman" w:eastAsia="宋体" w:cs="Times New Roman"/>
      <w:kern w:val="0"/>
      <w:sz w:val="21"/>
      <w:szCs w:val="22"/>
      <w:lang w:val="en-US" w:eastAsia="zh-CN" w:bidi="ar-SA"/>
    </w:rPr>
  </w:style>
  <w:style w:type="paragraph" w:customStyle="1" w:styleId="20">
    <w:name w:val="楷体2"/>
    <w:basedOn w:val="1"/>
    <w:link w:val="25"/>
    <w:qFormat/>
    <w:uiPriority w:val="0"/>
    <w:pPr>
      <w:widowControl/>
      <w:overflowPunct w:val="0"/>
      <w:autoSpaceDE w:val="0"/>
      <w:autoSpaceDN w:val="0"/>
      <w:adjustRightInd w:val="0"/>
      <w:spacing w:line="560" w:lineRule="exact"/>
      <w:ind w:firstLine="643" w:firstLineChars="200"/>
      <w:textAlignment w:val="baseline"/>
    </w:pPr>
    <w:rPr>
      <w:rFonts w:ascii="楷体" w:hAnsi="楷体" w:eastAsia="楷体"/>
      <w:b/>
      <w:kern w:val="0"/>
      <w:sz w:val="32"/>
      <w:szCs w:val="32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character" w:customStyle="1" w:styleId="22">
    <w:name w:val="批注文字 Char"/>
    <w:basedOn w:val="11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23">
    <w:name w:val="批注主题 Char"/>
    <w:basedOn w:val="22"/>
    <w:link w:val="9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24">
    <w:name w:val="批注框文本 Char"/>
    <w:basedOn w:val="11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5">
    <w:name w:val="楷体2 Char"/>
    <w:basedOn w:val="11"/>
    <w:link w:val="20"/>
    <w:qFormat/>
    <w:uiPriority w:val="0"/>
    <w:rPr>
      <w:rFonts w:ascii="楷体" w:hAnsi="楷体" w:eastAsia="楷体" w:cs="Times New Roman"/>
      <w:b/>
      <w:kern w:val="0"/>
      <w:sz w:val="32"/>
      <w:szCs w:val="32"/>
    </w:rPr>
  </w:style>
  <w:style w:type="character" w:customStyle="1" w:styleId="26">
    <w:name w:val="脚注文本 Char"/>
    <w:basedOn w:val="11"/>
    <w:link w:val="8"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27">
    <w:name w:val="尾注文本 Char"/>
    <w:basedOn w:val="11"/>
    <w:link w:val="4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9</Pages>
  <Words>4655</Words>
  <Characters>5059</Characters>
  <Lines>36</Lines>
  <Paragraphs>10</Paragraphs>
  <TotalTime>850</TotalTime>
  <ScaleCrop>false</ScaleCrop>
  <LinksUpToDate>false</LinksUpToDate>
  <CharactersWithSpaces>5059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2022-11-22T16:00:00Z</dcterms:created>
  <dc:creator>admin</dc:creator>
  <cp:lastModifiedBy>方姚</cp:lastModifiedBy>
  <dcterms:modified xsi:type="dcterms:W3CDTF">2025-10-21T01:10:16Z</dcterms:modified>
  <cp:revision>219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TemplateDocerSaveRecord">
    <vt:lpwstr>eyJoZGlkIjoiMGM3ZmRkZmE3YjM5YjQ4ZDU2Nzk2ZDhmNGM0MmMyYWUiLCJ1c2VySWQiOiIyNjQ1MzM2ODAifQ==</vt:lpwstr>
  </property>
  <property fmtid="{D5CDD505-2E9C-101B-9397-08002B2CF9AE}" pid="4" name="ICV">
    <vt:lpwstr>8D66EE15317444B895DA466E10D6D216_12</vt:lpwstr>
  </property>
</Properties>
</file>