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rPr>
          <w:rFonts w:hint="eastAsia" w:ascii="方正小标宋简体" w:hAnsi="方正小标宋简体"/>
          <w:sz w:val="44"/>
          <w:szCs w:val="44"/>
        </w:rPr>
      </w:pPr>
      <w:r>
        <w:rPr>
          <w:rFonts w:ascii="方正小标宋简体" w:hAnsi="方正小标宋简体"/>
          <w:sz w:val="24"/>
        </w:rPr>
        <w:t>附件</w:t>
      </w:r>
      <w:r>
        <w:rPr>
          <w:rFonts w:ascii="方正小标宋简体" w:hAnsi="宋体"/>
          <w:sz w:val="24"/>
        </w:rPr>
        <w:t>2</w:t>
      </w:r>
    </w:p>
    <w:p>
      <w:pPr>
        <w:spacing w:line="560" w:lineRule="exact"/>
        <w:jc w:val="center"/>
        <w:rPr>
          <w:rFonts w:ascii="方正小标宋简体" w:hAnsi="Calibri"/>
          <w:sz w:val="44"/>
          <w:szCs w:val="44"/>
        </w:rPr>
      </w:pPr>
      <w:r>
        <w:rPr>
          <w:rFonts w:hint="eastAsia" w:ascii="方正小标宋简体" w:hAnsi="方正小标宋简体"/>
          <w:sz w:val="44"/>
          <w:szCs w:val="44"/>
        </w:rPr>
        <w:t>苏州市姑苏区</w:t>
      </w:r>
      <w:r>
        <w:rPr>
          <w:rFonts w:ascii="方正小标宋简体" w:hAnsi="方正小标宋简体"/>
          <w:sz w:val="44"/>
          <w:szCs w:val="44"/>
        </w:rPr>
        <w:t>劳动关系和谐企业自评表</w:t>
      </w:r>
    </w:p>
    <w:p>
      <w:pPr>
        <w:spacing w:line="300" w:lineRule="exact"/>
        <w:rPr>
          <w:rFonts w:ascii="Calibri"/>
          <w:b/>
          <w:bCs/>
          <w:szCs w:val="21"/>
        </w:rPr>
      </w:pPr>
      <w:r>
        <w:rPr>
          <w:rFonts w:hint="eastAsia"/>
          <w:b/>
          <w:bCs/>
        </w:rPr>
        <w:t xml:space="preserve"> </w:t>
      </w:r>
    </w:p>
    <w:p>
      <w:pPr>
        <w:spacing w:line="300" w:lineRule="exact"/>
        <w:rPr>
          <w:rFonts w:hint="eastAsia" w:ascii="宋体" w:hAnsi="宋体"/>
          <w:b/>
          <w:bCs/>
        </w:rPr>
      </w:pPr>
      <w:r>
        <w:rPr>
          <w:rFonts w:hint="eastAsia" w:ascii="楷体" w:eastAsia="楷体"/>
          <w:b/>
          <w:bCs/>
        </w:rPr>
        <w:t>单位名称</w:t>
      </w:r>
      <w:r>
        <w:rPr>
          <w:rFonts w:hint="eastAsia" w:ascii="宋体" w:hAnsi="宋体"/>
          <w:b/>
          <w:bCs/>
        </w:rPr>
        <w:t xml:space="preserve">（盖章）：                            自评人：              自评时间：  </w:t>
      </w:r>
    </w:p>
    <w:tbl>
      <w:tblPr>
        <w:tblStyle w:val="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78"/>
        <w:gridCol w:w="1274"/>
        <w:gridCol w:w="4583"/>
        <w:gridCol w:w="1230"/>
        <w:gridCol w:w="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178"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b/>
                <w:bCs/>
                <w:szCs w:val="21"/>
              </w:rPr>
            </w:pPr>
            <w:r>
              <w:rPr>
                <w:rFonts w:hint="eastAsia" w:ascii="宋体" w:hAnsi="宋体"/>
                <w:b/>
                <w:bCs/>
              </w:rPr>
              <w:t xml:space="preserve"> </w:t>
            </w:r>
            <w:r>
              <w:rPr>
                <w:rFonts w:hAnsi="仿宋"/>
                <w:b/>
                <w:bCs/>
              </w:rPr>
              <w:t>一级指标</w:t>
            </w:r>
          </w:p>
        </w:tc>
        <w:tc>
          <w:tcPr>
            <w:tcW w:w="1274"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rFonts w:hAnsi="仿宋"/>
                <w:b/>
                <w:bCs/>
              </w:rPr>
              <w:t>二级指标</w:t>
            </w:r>
          </w:p>
        </w:tc>
        <w:tc>
          <w:tcPr>
            <w:tcW w:w="4583"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rFonts w:hAnsi="仿宋"/>
                <w:b/>
                <w:bCs/>
              </w:rPr>
              <w:t>评价标准</w:t>
            </w:r>
          </w:p>
        </w:tc>
        <w:tc>
          <w:tcPr>
            <w:tcW w:w="1230"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rFonts w:hAnsi="仿宋"/>
                <w:b/>
                <w:bCs/>
              </w:rPr>
              <w:t>评分标准</w:t>
            </w:r>
          </w:p>
        </w:tc>
        <w:tc>
          <w:tcPr>
            <w:tcW w:w="977"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rFonts w:hAnsi="仿宋"/>
                <w:b/>
                <w:bCs/>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r>
              <w:rPr>
                <w:rFonts w:hAnsi="仿宋"/>
              </w:rPr>
              <w:t>劳动用工</w:t>
            </w:r>
          </w:p>
          <w:p>
            <w:pPr>
              <w:spacing w:line="300" w:lineRule="exact"/>
              <w:jc w:val="center"/>
              <w:rPr>
                <w:kern w:val="0"/>
                <w:szCs w:val="21"/>
              </w:rPr>
            </w:pPr>
            <w:r>
              <w:rPr>
                <w:rFonts w:hAnsi="仿宋"/>
              </w:rPr>
              <w:t>（</w:t>
            </w:r>
            <w:r>
              <w:t>8</w:t>
            </w:r>
            <w:r>
              <w:rPr>
                <w:rFonts w:hAnsi="仿宋"/>
                <w:kern w:val="0"/>
              </w:rPr>
              <w:t>分</w:t>
            </w:r>
            <w:r>
              <w:rPr>
                <w:rFonts w:hAnsi="仿宋"/>
              </w:rPr>
              <w:t>）</w:t>
            </w: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招工用工</w:t>
            </w:r>
          </w:p>
        </w:tc>
        <w:tc>
          <w:tcPr>
            <w:tcW w:w="4583" w:type="dxa"/>
            <w:tcBorders>
              <w:top w:val="single" w:color="000000" w:sz="4" w:space="0"/>
              <w:left w:val="nil"/>
              <w:bottom w:val="single" w:color="auto" w:sz="4" w:space="0"/>
              <w:right w:val="single" w:color="000000" w:sz="4" w:space="0"/>
            </w:tcBorders>
            <w:noWrap w:val="0"/>
            <w:vAlign w:val="center"/>
          </w:tcPr>
          <w:p>
            <w:pPr>
              <w:pStyle w:val="4"/>
              <w:widowControl/>
              <w:spacing w:line="300" w:lineRule="exact"/>
              <w:ind w:firstLine="0" w:firstLineChars="0"/>
              <w:rPr>
                <w:kern w:val="0"/>
              </w:rPr>
            </w:pPr>
            <w:r>
              <w:rPr>
                <w:rFonts w:hAnsi="宋体"/>
                <w:kern w:val="0"/>
              </w:rPr>
              <w:t>①</w:t>
            </w:r>
            <w:r>
              <w:rPr>
                <w:rFonts w:hAnsi="仿宋"/>
                <w:kern w:val="0"/>
              </w:rPr>
              <w:t>企业无就业歧视行为和就业欺诈行为</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宋体"/>
                <w:kern w:val="0"/>
              </w:rPr>
              <w:t>②</w:t>
            </w:r>
            <w:r>
              <w:rPr>
                <w:rFonts w:hAnsi="仿宋"/>
                <w:kern w:val="0"/>
              </w:rPr>
              <w:t>企业无扣押职工身份证或其他证件、以及要求劳动者提供担保或者以其他名义向劳动者收取财物的行为</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建立</w:t>
            </w:r>
          </w:p>
          <w:p>
            <w:pPr>
              <w:widowControl/>
              <w:spacing w:line="300" w:lineRule="exact"/>
              <w:jc w:val="center"/>
              <w:rPr>
                <w:kern w:val="0"/>
                <w:szCs w:val="21"/>
              </w:rPr>
            </w:pPr>
            <w:r>
              <w:rPr>
                <w:rFonts w:hAnsi="仿宋"/>
                <w:kern w:val="0"/>
              </w:rPr>
              <w:t>职工名册</w:t>
            </w:r>
          </w:p>
        </w:tc>
        <w:tc>
          <w:tcPr>
            <w:tcW w:w="4583" w:type="dxa"/>
            <w:tcBorders>
              <w:top w:val="single" w:color="000000" w:sz="4" w:space="0"/>
              <w:left w:val="nil"/>
              <w:bottom w:val="single" w:color="auto" w:sz="4" w:space="0"/>
              <w:right w:val="single" w:color="000000" w:sz="4" w:space="0"/>
            </w:tcBorders>
            <w:noWrap w:val="0"/>
            <w:vAlign w:val="center"/>
          </w:tcPr>
          <w:p>
            <w:pPr>
              <w:spacing w:line="300" w:lineRule="exact"/>
              <w:rPr>
                <w:kern w:val="0"/>
                <w:szCs w:val="21"/>
              </w:rPr>
            </w:pPr>
            <w:r>
              <w:rPr>
                <w:rFonts w:hAnsi="宋体"/>
                <w:kern w:val="0"/>
              </w:rPr>
              <w:t>①</w:t>
            </w:r>
            <w:r>
              <w:rPr>
                <w:rFonts w:hAnsi="仿宋"/>
                <w:kern w:val="0"/>
              </w:rPr>
              <w:t>建立了完善的职工名册</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spacing w:line="300" w:lineRule="exact"/>
              <w:rPr>
                <w:kern w:val="0"/>
                <w:szCs w:val="21"/>
              </w:rPr>
            </w:pPr>
            <w:r>
              <w:rPr>
                <w:rFonts w:hAnsi="宋体"/>
                <w:kern w:val="0"/>
              </w:rPr>
              <w:t>②</w:t>
            </w:r>
            <w:r>
              <w:rPr>
                <w:rFonts w:hAnsi="仿宋"/>
              </w:rPr>
              <w:t>主动履行劳动合同备案义务</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劳动合同签订率</w:t>
            </w: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宋体"/>
                <w:kern w:val="0"/>
              </w:rPr>
              <w:t>①</w:t>
            </w:r>
            <w:r>
              <w:rPr>
                <w:rFonts w:hAnsi="仿宋"/>
                <w:kern w:val="0"/>
              </w:rPr>
              <w:t>依法与职工签订书面劳动合同，劳动合同签订率达到</w:t>
            </w:r>
            <w:r>
              <w:rPr>
                <w:kern w:val="0"/>
              </w:rPr>
              <w:t>100%</w:t>
            </w:r>
            <w:r>
              <w:rPr>
                <w:rFonts w:hAnsi="仿宋"/>
                <w:kern w:val="0"/>
              </w:rPr>
              <w:t>（</w:t>
            </w:r>
            <w:r>
              <w:rPr>
                <w:rFonts w:hAnsi="仿宋"/>
              </w:rPr>
              <w:t>每少</w:t>
            </w:r>
            <w:r>
              <w:t>1</w:t>
            </w:r>
            <w:r>
              <w:rPr>
                <w:rFonts w:hAnsi="仿宋"/>
              </w:rPr>
              <w:t>个百分点扣</w:t>
            </w:r>
            <w:r>
              <w:t>0.25</w:t>
            </w:r>
            <w:r>
              <w:rPr>
                <w:rFonts w:hAnsi="仿宋"/>
              </w:rPr>
              <w:t>分，低于</w:t>
            </w:r>
            <w:r>
              <w:t>96%</w:t>
            </w:r>
            <w:r>
              <w:rPr>
                <w:rFonts w:hAnsi="仿宋"/>
              </w:rPr>
              <w:t>不得分</w:t>
            </w:r>
            <w:r>
              <w:rPr>
                <w:rFonts w:hAnsi="仿宋"/>
                <w:kern w:val="0"/>
              </w:rPr>
              <w:t>）</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2</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宋体"/>
                <w:kern w:val="0"/>
              </w:rPr>
              <w:t>②</w:t>
            </w:r>
            <w:r>
              <w:rPr>
                <w:rFonts w:hAnsi="仿宋"/>
                <w:kern w:val="0"/>
              </w:rPr>
              <w:t>劳动合同文本，企业和职工各执一份。</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劳动合同履行和变更</w:t>
            </w: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仿宋"/>
                <w:kern w:val="0"/>
              </w:rPr>
              <w:t>遵循合法、公平、平等自愿、协商一致、诚实信用的原则</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劳动合同的解除和终止</w:t>
            </w: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仿宋"/>
                <w:kern w:val="0"/>
              </w:rPr>
              <w:t>依法向解除、终止劳动合同的劳动者出具解除或终止劳动合同的书面证明</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劳务派遣</w:t>
            </w: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仿宋"/>
                <w:kern w:val="0"/>
              </w:rPr>
              <w:t>按照法律法规规定使用劳务派遣</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kern w:val="0"/>
                <w:szCs w:val="21"/>
              </w:rPr>
            </w:pPr>
          </w:p>
        </w:tc>
        <w:tc>
          <w:tcPr>
            <w:tcW w:w="1274"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职工流动率</w:t>
            </w: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仿宋"/>
                <w:kern w:val="0"/>
              </w:rPr>
              <w:t>职工月均离职率在</w:t>
            </w:r>
            <w:r>
              <w:rPr>
                <w:kern w:val="0"/>
              </w:rPr>
              <w:t>5%</w:t>
            </w:r>
            <w:r>
              <w:rPr>
                <w:rFonts w:hAnsi="仿宋"/>
                <w:kern w:val="0"/>
              </w:rPr>
              <w:t>以内</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r>
              <w:rPr>
                <w:rFonts w:hAnsi="仿宋"/>
                <w:kern w:val="0"/>
              </w:rPr>
              <w:t>劳动报酬</w:t>
            </w:r>
            <w:r>
              <w:rPr>
                <w:rFonts w:hAnsi="仿宋"/>
              </w:rPr>
              <w:t>（</w:t>
            </w:r>
            <w:r>
              <w:t>12</w:t>
            </w:r>
            <w:r>
              <w:rPr>
                <w:rFonts w:hAnsi="仿宋"/>
                <w:kern w:val="0"/>
              </w:rPr>
              <w:t>分</w:t>
            </w:r>
            <w:r>
              <w:rPr>
                <w:rFonts w:hAnsi="仿宋"/>
              </w:rPr>
              <w:t>）</w:t>
            </w: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工资协商</w:t>
            </w: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宋体"/>
                <w:kern w:val="0"/>
              </w:rPr>
              <w:t>①</w:t>
            </w:r>
            <w:r>
              <w:rPr>
                <w:rFonts w:hAnsi="仿宋"/>
                <w:kern w:val="0"/>
              </w:rPr>
              <w:t>建立以工资集体协商为主要形式的工资分配决定机制和工资水平调整机制</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2</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宋体"/>
                <w:kern w:val="0"/>
              </w:rPr>
              <w:t>②</w:t>
            </w:r>
            <w:r>
              <w:rPr>
                <w:rFonts w:hAnsi="仿宋"/>
                <w:kern w:val="0"/>
              </w:rPr>
              <w:t>本企业最低工资标准高于当地最低工资标准</w:t>
            </w:r>
          </w:p>
        </w:tc>
        <w:tc>
          <w:tcPr>
            <w:tcW w:w="1230" w:type="dxa"/>
            <w:tcBorders>
              <w:top w:val="single" w:color="000000"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宋体"/>
                <w:kern w:val="0"/>
              </w:rPr>
              <w:t>③</w:t>
            </w:r>
            <w:r>
              <w:rPr>
                <w:rFonts w:hAnsi="仿宋"/>
                <w:kern w:val="0"/>
              </w:rPr>
              <w:t>职工人均工资不低于上年度苏州市职工平均工资水平</w:t>
            </w:r>
            <w:r>
              <w:rPr>
                <w:kern w:val="0"/>
              </w:rPr>
              <w:t>/</w:t>
            </w:r>
            <w:r>
              <w:rPr>
                <w:rFonts w:hAnsi="仿宋"/>
                <w:kern w:val="0"/>
              </w:rPr>
              <w:t>社平工资</w:t>
            </w:r>
          </w:p>
        </w:tc>
        <w:tc>
          <w:tcPr>
            <w:tcW w:w="1230"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宋体"/>
                <w:kern w:val="0"/>
              </w:rPr>
              <w:t>④</w:t>
            </w:r>
            <w:r>
              <w:rPr>
                <w:rFonts w:hAnsi="仿宋"/>
                <w:kern w:val="0"/>
              </w:rPr>
              <w:t>职工人均工资水平高于苏州市职工平均工资水平</w:t>
            </w:r>
            <w:r>
              <w:rPr>
                <w:kern w:val="0"/>
              </w:rPr>
              <w:t>10%</w:t>
            </w:r>
            <w:r>
              <w:rPr>
                <w:rFonts w:hAnsi="仿宋"/>
                <w:kern w:val="0"/>
              </w:rPr>
              <w:t>以上</w:t>
            </w:r>
          </w:p>
        </w:tc>
        <w:tc>
          <w:tcPr>
            <w:tcW w:w="1230" w:type="dxa"/>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工资增长</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宋体"/>
                <w:kern w:val="0"/>
              </w:rPr>
              <w:t>①</w:t>
            </w:r>
            <w:r>
              <w:rPr>
                <w:rFonts w:hAnsi="仿宋"/>
                <w:kern w:val="0"/>
              </w:rPr>
              <w:t>参照工资指导线、人力资源市场价位，职工工资增长与企业经济效益提高相协调</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6"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宋体"/>
                <w:kern w:val="0"/>
              </w:rPr>
              <w:t>②</w:t>
            </w:r>
            <w:r>
              <w:rPr>
                <w:rFonts w:hAnsi="仿宋"/>
                <w:kern w:val="0"/>
              </w:rPr>
              <w:t>一线职工年收入增长水平不低于企业职工的平均工资增长水平</w:t>
            </w:r>
          </w:p>
        </w:tc>
        <w:tc>
          <w:tcPr>
            <w:tcW w:w="1230" w:type="dxa"/>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工资支付</w:t>
            </w: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宋体"/>
                <w:kern w:val="0"/>
              </w:rPr>
              <w:t>①</w:t>
            </w:r>
            <w:r>
              <w:rPr>
                <w:rFonts w:hAnsi="仿宋"/>
                <w:kern w:val="0"/>
              </w:rPr>
              <w:t>按时支付职工工资</w:t>
            </w:r>
          </w:p>
        </w:tc>
        <w:tc>
          <w:tcPr>
            <w:tcW w:w="1230" w:type="dxa"/>
            <w:tcBorders>
              <w:top w:val="single" w:color="000000"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宋体"/>
                <w:kern w:val="0"/>
              </w:rPr>
              <w:t>②</w:t>
            </w:r>
            <w:r>
              <w:rPr>
                <w:rFonts w:hAnsi="仿宋"/>
                <w:kern w:val="0"/>
              </w:rPr>
              <w:t>足额支付职工工资</w:t>
            </w:r>
          </w:p>
        </w:tc>
        <w:tc>
          <w:tcPr>
            <w:tcW w:w="1230" w:type="dxa"/>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7"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宋体"/>
                <w:kern w:val="0"/>
              </w:rPr>
              <w:t>③</w:t>
            </w:r>
            <w:r>
              <w:rPr>
                <w:rFonts w:hAnsi="仿宋"/>
                <w:kern w:val="0"/>
              </w:rPr>
              <w:t>以货币形式支付</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宋体"/>
                <w:kern w:val="0"/>
              </w:rPr>
              <w:t>④</w:t>
            </w:r>
            <w:r>
              <w:rPr>
                <w:rFonts w:hAnsi="仿宋"/>
                <w:kern w:val="0"/>
              </w:rPr>
              <w:t>依法发放各种津贴（有毒有害高温夜班）等</w:t>
            </w:r>
          </w:p>
        </w:tc>
        <w:tc>
          <w:tcPr>
            <w:tcW w:w="1230" w:type="dxa"/>
            <w:tcBorders>
              <w:top w:val="single" w:color="000000"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spacing w:line="300" w:lineRule="exact"/>
              <w:rPr>
                <w:kern w:val="0"/>
                <w:szCs w:val="21"/>
              </w:rPr>
            </w:pPr>
            <w:r>
              <w:rPr>
                <w:rFonts w:hAnsi="宋体"/>
                <w:kern w:val="0"/>
              </w:rPr>
              <w:t>⑤</w:t>
            </w:r>
            <w:r>
              <w:rPr>
                <w:rFonts w:hAnsi="仿宋"/>
                <w:kern w:val="0"/>
              </w:rPr>
              <w:t>依法足额支付加班加点工资</w:t>
            </w:r>
          </w:p>
        </w:tc>
        <w:tc>
          <w:tcPr>
            <w:tcW w:w="1230" w:type="dxa"/>
            <w:tcBorders>
              <w:top w:val="single" w:color="auto" w:sz="4" w:space="0"/>
              <w:left w:val="nil"/>
              <w:bottom w:val="single" w:color="000000" w:sz="4" w:space="0"/>
              <w:right w:val="single" w:color="000000" w:sz="4" w:space="0"/>
            </w:tcBorders>
            <w:noWrap w:val="0"/>
            <w:vAlign w:val="center"/>
          </w:tcPr>
          <w:p>
            <w:pPr>
              <w:spacing w:line="300" w:lineRule="exact"/>
              <w:jc w:val="center"/>
              <w:rPr>
                <w:kern w:val="0"/>
                <w:szCs w:val="21"/>
              </w:rPr>
            </w:pPr>
            <w:r>
              <w:rPr>
                <w:kern w:val="0"/>
              </w:rPr>
              <w:t>1.5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178"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b/>
                <w:bCs/>
                <w:szCs w:val="21"/>
              </w:rPr>
            </w:pPr>
            <w:r>
              <w:rPr>
                <w:rFonts w:hAnsi="仿宋"/>
                <w:b/>
                <w:bCs/>
              </w:rPr>
              <w:t>一级指标</w:t>
            </w:r>
          </w:p>
        </w:tc>
        <w:tc>
          <w:tcPr>
            <w:tcW w:w="1274"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rFonts w:hAnsi="仿宋"/>
                <w:b/>
                <w:bCs/>
              </w:rPr>
              <w:t>二级指标</w:t>
            </w:r>
          </w:p>
        </w:tc>
        <w:tc>
          <w:tcPr>
            <w:tcW w:w="4583"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rFonts w:hAnsi="仿宋"/>
                <w:b/>
                <w:bCs/>
              </w:rPr>
              <w:t>评价标准</w:t>
            </w:r>
          </w:p>
        </w:tc>
        <w:tc>
          <w:tcPr>
            <w:tcW w:w="1230"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rFonts w:hAnsi="仿宋"/>
                <w:b/>
                <w:bCs/>
              </w:rPr>
              <w:t>评分标准</w:t>
            </w:r>
          </w:p>
        </w:tc>
        <w:tc>
          <w:tcPr>
            <w:tcW w:w="977"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rFonts w:hAnsi="仿宋"/>
                <w:b/>
                <w:bCs/>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6"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widowControl/>
              <w:spacing w:line="300" w:lineRule="exact"/>
              <w:jc w:val="center"/>
              <w:rPr>
                <w:kern w:val="0"/>
                <w:szCs w:val="21"/>
              </w:rPr>
            </w:pPr>
          </w:p>
          <w:p>
            <w:pPr>
              <w:widowControl/>
              <w:spacing w:line="300" w:lineRule="exact"/>
              <w:jc w:val="center"/>
              <w:rPr>
                <w:kern w:val="0"/>
              </w:rPr>
            </w:pPr>
          </w:p>
          <w:p>
            <w:pPr>
              <w:widowControl/>
              <w:spacing w:line="300" w:lineRule="exact"/>
              <w:jc w:val="center"/>
              <w:rPr>
                <w:kern w:val="0"/>
              </w:rPr>
            </w:pPr>
            <w:r>
              <w:rPr>
                <w:rFonts w:hAnsi="仿宋"/>
                <w:kern w:val="0"/>
              </w:rPr>
              <w:t>工作时间与</w:t>
            </w:r>
          </w:p>
          <w:p>
            <w:pPr>
              <w:widowControl/>
              <w:spacing w:line="300" w:lineRule="exact"/>
              <w:jc w:val="center"/>
              <w:rPr>
                <w:kern w:val="0"/>
              </w:rPr>
            </w:pPr>
            <w:r>
              <w:rPr>
                <w:rFonts w:hAnsi="仿宋"/>
                <w:kern w:val="0"/>
              </w:rPr>
              <w:t>休息休假</w:t>
            </w:r>
          </w:p>
          <w:p>
            <w:pPr>
              <w:spacing w:line="300" w:lineRule="exact"/>
              <w:jc w:val="center"/>
              <w:rPr>
                <w:szCs w:val="21"/>
              </w:rPr>
            </w:pPr>
            <w:r>
              <w:rPr>
                <w:rFonts w:hAnsi="仿宋"/>
              </w:rPr>
              <w:t>（</w:t>
            </w:r>
            <w:r>
              <w:t>6</w:t>
            </w:r>
            <w:r>
              <w:rPr>
                <w:rFonts w:hAnsi="仿宋"/>
                <w:kern w:val="0"/>
              </w:rPr>
              <w:t>分</w:t>
            </w:r>
            <w:r>
              <w:rPr>
                <w:rFonts w:hAnsi="仿宋"/>
              </w:rPr>
              <w:t>）</w:t>
            </w:r>
          </w:p>
        </w:tc>
        <w:tc>
          <w:tcPr>
            <w:tcW w:w="1274"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工时制度</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依法执行国家关于工时制度的规定，如实行特殊工时制度的，依法履行报批手续</w:t>
            </w:r>
          </w:p>
        </w:tc>
        <w:tc>
          <w:tcPr>
            <w:tcW w:w="1230" w:type="dxa"/>
            <w:tcBorders>
              <w:top w:val="single" w:color="000000" w:sz="4" w:space="0"/>
              <w:left w:val="nil"/>
              <w:bottom w:val="single" w:color="000000" w:sz="4" w:space="0"/>
              <w:right w:val="single" w:color="000000" w:sz="4" w:space="0"/>
            </w:tcBorders>
            <w:noWrap w:val="0"/>
            <w:vAlign w:val="center"/>
          </w:tcPr>
          <w:p>
            <w:pPr>
              <w:spacing w:line="300" w:lineRule="exact"/>
              <w:jc w:val="center"/>
              <w:rPr>
                <w:kern w:val="0"/>
                <w:szCs w:val="21"/>
              </w:rPr>
            </w:pPr>
            <w:r>
              <w:rPr>
                <w:kern w:val="0"/>
              </w:rPr>
              <w:t>1</w:t>
            </w:r>
            <w:r>
              <w:rPr>
                <w:rFonts w:hAnsi="仿宋"/>
                <w:kern w:val="0"/>
              </w:rPr>
              <w:t>分</w:t>
            </w:r>
          </w:p>
          <w:p>
            <w:pPr>
              <w:spacing w:line="300" w:lineRule="exact"/>
              <w:jc w:val="left"/>
              <w:rPr>
                <w:kern w:val="0"/>
                <w:sz w:val="18"/>
                <w:szCs w:val="18"/>
              </w:rPr>
            </w:pPr>
            <w:r>
              <w:rPr>
                <w:rFonts w:hAnsi="仿宋"/>
                <w:kern w:val="0"/>
                <w:sz w:val="18"/>
                <w:szCs w:val="18"/>
              </w:rPr>
              <w:t>（如实行特殊工时制度未履行报批手续的扣</w:t>
            </w:r>
            <w:r>
              <w:rPr>
                <w:kern w:val="0"/>
                <w:sz w:val="18"/>
                <w:szCs w:val="18"/>
              </w:rPr>
              <w:t>0.5</w:t>
            </w:r>
            <w:r>
              <w:rPr>
                <w:rFonts w:hAnsi="仿宋"/>
                <w:kern w:val="0"/>
                <w:sz w:val="18"/>
                <w:szCs w:val="18"/>
              </w:rPr>
              <w:t>分）</w:t>
            </w:r>
          </w:p>
        </w:tc>
        <w:tc>
          <w:tcPr>
            <w:tcW w:w="977"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延长</w:t>
            </w:r>
          </w:p>
          <w:p>
            <w:pPr>
              <w:widowControl/>
              <w:spacing w:line="300" w:lineRule="exact"/>
              <w:jc w:val="center"/>
              <w:rPr>
                <w:kern w:val="0"/>
                <w:szCs w:val="21"/>
              </w:rPr>
            </w:pPr>
            <w:r>
              <w:rPr>
                <w:rFonts w:hAnsi="仿宋"/>
                <w:kern w:val="0"/>
              </w:rPr>
              <w:t>工作时间</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企业因生产经营需要安排职工延长工作时间的，应与工会和职工协商</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1.5</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延长工作时间的时数符合法律法规规定</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休息休假</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依法落实国家规定的休息休假制度</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1.5</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保障职工带薪年休假权利</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合理给予职工企业内部补充休息休假</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r>
              <w:rPr>
                <w:rFonts w:hAnsi="仿宋"/>
              </w:rPr>
              <w:t>劳动安全与卫生</w:t>
            </w:r>
          </w:p>
          <w:p>
            <w:pPr>
              <w:spacing w:line="300" w:lineRule="exact"/>
              <w:jc w:val="center"/>
              <w:rPr>
                <w:szCs w:val="21"/>
              </w:rPr>
            </w:pPr>
            <w:r>
              <w:rPr>
                <w:rFonts w:hAnsi="仿宋"/>
              </w:rPr>
              <w:t>（</w:t>
            </w:r>
            <w:r>
              <w:t>9</w:t>
            </w:r>
            <w:r>
              <w:rPr>
                <w:rFonts w:hAnsi="仿宋"/>
                <w:kern w:val="0"/>
              </w:rPr>
              <w:t>分</w:t>
            </w:r>
            <w:r>
              <w:rPr>
                <w:rFonts w:hAnsi="仿宋"/>
              </w:rPr>
              <w:t>）</w:t>
            </w: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安全</w:t>
            </w:r>
          </w:p>
          <w:p>
            <w:pPr>
              <w:widowControl/>
              <w:spacing w:line="300" w:lineRule="exact"/>
              <w:jc w:val="center"/>
              <w:rPr>
                <w:kern w:val="0"/>
                <w:szCs w:val="21"/>
              </w:rPr>
            </w:pPr>
            <w:r>
              <w:rPr>
                <w:rFonts w:hAnsi="仿宋"/>
                <w:kern w:val="0"/>
              </w:rPr>
              <w:t>生产制度</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建立健全安全生产规章制度和操作规程</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建立事故应急预案，进行演练</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劳动</w:t>
            </w:r>
          </w:p>
          <w:p>
            <w:pPr>
              <w:widowControl/>
              <w:spacing w:line="300" w:lineRule="exact"/>
              <w:jc w:val="center"/>
              <w:rPr>
                <w:kern w:val="0"/>
                <w:szCs w:val="21"/>
              </w:rPr>
            </w:pPr>
            <w:r>
              <w:rPr>
                <w:rFonts w:hAnsi="仿宋"/>
                <w:kern w:val="0"/>
              </w:rPr>
              <w:t>安全条件</w:t>
            </w: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仿宋"/>
                <w:kern w:val="0"/>
              </w:rPr>
              <w:t>生产经营场所和设备、设施符合国家有关标准和规定</w:t>
            </w:r>
          </w:p>
        </w:tc>
        <w:tc>
          <w:tcPr>
            <w:tcW w:w="1230" w:type="dxa"/>
            <w:tcBorders>
              <w:top w:val="single" w:color="000000"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仿宋"/>
                <w:kern w:val="0"/>
              </w:rPr>
              <w:t>消防设施符合要求</w:t>
            </w:r>
          </w:p>
        </w:tc>
        <w:tc>
          <w:tcPr>
            <w:tcW w:w="1230"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widowControl/>
              <w:spacing w:line="300" w:lineRule="exact"/>
              <w:rPr>
                <w:kern w:val="0"/>
                <w:szCs w:val="21"/>
              </w:rPr>
            </w:pPr>
            <w:r>
              <w:rPr>
                <w:rFonts w:hAnsi="仿宋"/>
                <w:kern w:val="0"/>
              </w:rPr>
              <w:t>安全警示标志明显</w:t>
            </w:r>
          </w:p>
        </w:tc>
        <w:tc>
          <w:tcPr>
            <w:tcW w:w="1230"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nil"/>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按规定开展安全生产标准化建设</w:t>
            </w:r>
          </w:p>
        </w:tc>
        <w:tc>
          <w:tcPr>
            <w:tcW w:w="1230" w:type="dxa"/>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安全</w:t>
            </w:r>
          </w:p>
          <w:p>
            <w:pPr>
              <w:widowControl/>
              <w:spacing w:line="300" w:lineRule="exact"/>
              <w:jc w:val="center"/>
              <w:rPr>
                <w:kern w:val="0"/>
                <w:szCs w:val="21"/>
              </w:rPr>
            </w:pPr>
            <w:r>
              <w:rPr>
                <w:rFonts w:hAnsi="仿宋"/>
                <w:kern w:val="0"/>
              </w:rPr>
              <w:t>教育培训</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每年开展职工安全教育，有培训计划和培训档案</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企业安全管理人员、特种作业人员经过安全培训，持证上岗</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安全检查</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对企业安全生产重点部位、重点设备和关键环节开展经常性安全检查</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及时整改事故隐患</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职业卫生</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提供安全和健康的工作环境，免费向员工提供劳动保护用品</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对从事有职业危害作业的职工按照国家规定进行上岗前、在岗期间和离岗时的职业健康检查</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尘毒浓度指标不得超过国家卫生标准</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落实对女职工和未成年工特殊劳动保护措施</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每两年至少组织一次女职工妇女病普查</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4"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Ansi="仿宋"/>
                <w:kern w:val="0"/>
              </w:rPr>
              <w:t>工伤发生率</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rFonts w:hAnsi="仿宋"/>
                <w:kern w:val="0"/>
              </w:rPr>
              <w:t>评估确认期内每年的工伤发生率（工伤发生件数占全体职工的比重）均为</w:t>
            </w:r>
            <w:r>
              <w:rPr>
                <w:kern w:val="0"/>
              </w:rPr>
              <w:t>0</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hAnsi="仿宋"/>
                <w:kern w:val="0"/>
              </w:rPr>
              <w:t>分</w:t>
            </w:r>
          </w:p>
        </w:tc>
        <w:tc>
          <w:tcPr>
            <w:tcW w:w="977"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178"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b/>
                <w:bCs/>
                <w:szCs w:val="21"/>
              </w:rPr>
            </w:pPr>
            <w:r>
              <w:rPr>
                <w:b/>
                <w:bCs/>
              </w:rPr>
              <w:t>一级指标</w:t>
            </w:r>
          </w:p>
        </w:tc>
        <w:tc>
          <w:tcPr>
            <w:tcW w:w="1274"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二级指标</w:t>
            </w:r>
          </w:p>
        </w:tc>
        <w:tc>
          <w:tcPr>
            <w:tcW w:w="4583"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评价标准</w:t>
            </w:r>
          </w:p>
        </w:tc>
        <w:tc>
          <w:tcPr>
            <w:tcW w:w="1230"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评分标准</w:t>
            </w:r>
          </w:p>
        </w:tc>
        <w:tc>
          <w:tcPr>
            <w:tcW w:w="977"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widowControl/>
              <w:spacing w:line="300" w:lineRule="exact"/>
              <w:jc w:val="center"/>
              <w:rPr>
                <w:kern w:val="0"/>
                <w:szCs w:val="21"/>
              </w:rPr>
            </w:pPr>
            <w:r>
              <w:rPr>
                <w:kern w:val="0"/>
              </w:rPr>
              <w:t>社会保险与福利</w:t>
            </w:r>
          </w:p>
          <w:p>
            <w:pPr>
              <w:spacing w:line="300" w:lineRule="exact"/>
              <w:jc w:val="center"/>
              <w:rPr>
                <w:szCs w:val="21"/>
              </w:rPr>
            </w:pPr>
            <w:r>
              <w:t>（10</w:t>
            </w:r>
            <w:r>
              <w:rPr>
                <w:kern w:val="0"/>
              </w:rPr>
              <w:t>分</w:t>
            </w:r>
            <w:r>
              <w:t>）</w:t>
            </w: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社会保险</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如实履行社会保险登记、申报义务</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2</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依法足额申报应参保的职工人数和应缴纳的社会保险数额</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2</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依法按时足额缴纳各项社会保险费</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2</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补充保障</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执行国家住房公积金规定</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具备条件的企业建立企业年金、补充医疗为主要形式的补充保险制度</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建立职工互助互济保障制度、开展困难职工帮扶工作并建立困难职工帮扶档案</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福利待遇</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依法足额提取、合理使用职工福利费</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kern w:val="0"/>
              </w:rPr>
              <w:t>依法</w:t>
            </w:r>
            <w:r>
              <w:t>建立女职工卫生室、孕妇休息室、哺乳室等设施的</w:t>
            </w:r>
            <w:r>
              <w:rPr>
                <w:kern w:val="0"/>
              </w:rPr>
              <w:t> </w:t>
            </w:r>
          </w:p>
        </w:tc>
        <w:tc>
          <w:tcPr>
            <w:tcW w:w="1230" w:type="dxa"/>
            <w:tcBorders>
              <w:top w:val="single" w:color="000000" w:sz="4" w:space="0"/>
              <w:left w:val="nil"/>
              <w:bottom w:val="single" w:color="auto" w:sz="4" w:space="0"/>
              <w:right w:val="single" w:color="000000" w:sz="4" w:space="0"/>
            </w:tcBorders>
            <w:noWrap w:val="0"/>
            <w:vAlign w:val="center"/>
          </w:tcPr>
          <w:p>
            <w:pPr>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为职工提供工作餐便利、上下班便利等</w:t>
            </w:r>
          </w:p>
        </w:tc>
        <w:tc>
          <w:tcPr>
            <w:tcW w:w="1230" w:type="dxa"/>
            <w:tcBorders>
              <w:top w:val="single" w:color="auto" w:sz="4" w:space="0"/>
              <w:left w:val="nil"/>
              <w:bottom w:val="single" w:color="000000" w:sz="4" w:space="0"/>
              <w:right w:val="single" w:color="000000" w:sz="4" w:space="0"/>
            </w:tcBorders>
            <w:noWrap w:val="0"/>
            <w:vAlign w:val="center"/>
          </w:tcPr>
          <w:p>
            <w:pPr>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7"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r>
              <w:t>劳动规章</w:t>
            </w:r>
          </w:p>
          <w:p>
            <w:pPr>
              <w:spacing w:line="300" w:lineRule="exact"/>
              <w:jc w:val="center"/>
            </w:pPr>
            <w:r>
              <w:t>与</w:t>
            </w:r>
          </w:p>
          <w:p>
            <w:pPr>
              <w:spacing w:line="300" w:lineRule="exact"/>
              <w:jc w:val="center"/>
            </w:pPr>
            <w:r>
              <w:t>民主管理</w:t>
            </w:r>
          </w:p>
          <w:p>
            <w:pPr>
              <w:spacing w:line="300" w:lineRule="exact"/>
              <w:jc w:val="center"/>
              <w:rPr>
                <w:szCs w:val="21"/>
              </w:rPr>
            </w:pPr>
            <w:r>
              <w:t>（8</w:t>
            </w:r>
            <w:r>
              <w:rPr>
                <w:kern w:val="0"/>
              </w:rPr>
              <w:t>分</w:t>
            </w:r>
            <w:r>
              <w:t>）</w:t>
            </w: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劳动规章</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依法建立和完善劳动报酬、工作时间、休息休假、保险福利、职工培训、劳动纪律等制度</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1.5</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制定劳动规章制度履行法律规定的民主程序</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劳动规章制度、重大事项应当公示，或告知职工</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民主管理</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szCs w:val="21"/>
              </w:rPr>
            </w:pPr>
            <w:r>
              <w:rPr>
                <w:kern w:val="0"/>
              </w:rPr>
              <w:t>依法建立职工(</w:t>
            </w:r>
            <w:r>
              <w:rPr>
                <w:rFonts w:ascii="宋体" w:hAnsi="宋体"/>
                <w:kern w:val="0"/>
              </w:rPr>
              <w:t>代表</w:t>
            </w:r>
            <w:r>
              <w:rPr>
                <w:kern w:val="0"/>
              </w:rPr>
              <w:t>)</w:t>
            </w:r>
            <w:r>
              <w:rPr>
                <w:rFonts w:ascii="宋体" w:hAnsi="宋体"/>
                <w:kern w:val="0"/>
              </w:rPr>
              <w:t>大会制度</w:t>
            </w:r>
          </w:p>
        </w:tc>
        <w:tc>
          <w:tcPr>
            <w:tcW w:w="1230" w:type="dxa"/>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6"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企业每年至少召开1</w:t>
            </w:r>
            <w:r>
              <w:rPr>
                <w:rFonts w:ascii="宋体" w:hAnsi="宋体"/>
                <w:kern w:val="0"/>
              </w:rPr>
              <w:t>次职工</w:t>
            </w:r>
            <w:r>
              <w:rPr>
                <w:kern w:val="0"/>
              </w:rPr>
              <w:t>(</w:t>
            </w:r>
            <w:r>
              <w:rPr>
                <w:rFonts w:ascii="宋体" w:hAnsi="宋体"/>
                <w:kern w:val="0"/>
              </w:rPr>
              <w:t>代表</w:t>
            </w:r>
            <w:r>
              <w:rPr>
                <w:kern w:val="0"/>
              </w:rPr>
              <w:t>)</w:t>
            </w:r>
            <w:r>
              <w:rPr>
                <w:rFonts w:ascii="宋体" w:hAnsi="宋体"/>
                <w:kern w:val="0"/>
              </w:rPr>
              <w:t>大会</w:t>
            </w:r>
          </w:p>
        </w:tc>
        <w:tc>
          <w:tcPr>
            <w:tcW w:w="1230" w:type="dxa"/>
            <w:tcBorders>
              <w:top w:val="single" w:color="000000" w:sz="4" w:space="0"/>
              <w:left w:val="nil"/>
              <w:bottom w:val="single" w:color="000000" w:sz="4" w:space="0"/>
              <w:right w:val="single" w:color="000000" w:sz="4" w:space="0"/>
            </w:tcBorders>
            <w:noWrap w:val="0"/>
            <w:vAlign w:val="center"/>
          </w:tcPr>
          <w:p>
            <w:pPr>
              <w:widowControl/>
              <w:jc w:val="center"/>
              <w:rPr>
                <w:kern w:val="0"/>
                <w:szCs w:val="21"/>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依法建立厂务公开制度，设有固定公开栏及其它公开形式</w:t>
            </w:r>
          </w:p>
        </w:tc>
        <w:tc>
          <w:tcPr>
            <w:tcW w:w="1230" w:type="dxa"/>
            <w:tcBorders>
              <w:top w:val="single" w:color="000000" w:sz="4" w:space="0"/>
              <w:left w:val="nil"/>
              <w:bottom w:val="single" w:color="000000" w:sz="4" w:space="0"/>
              <w:right w:val="single" w:color="000000" w:sz="4" w:space="0"/>
            </w:tcBorders>
            <w:noWrap w:val="0"/>
            <w:vAlign w:val="center"/>
          </w:tcPr>
          <w:p>
            <w:pPr>
              <w:widowControl/>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公开内容应做到全面、真实、及时</w:t>
            </w:r>
          </w:p>
        </w:tc>
        <w:tc>
          <w:tcPr>
            <w:tcW w:w="1230" w:type="dxa"/>
            <w:tcBorders>
              <w:top w:val="single" w:color="000000" w:sz="4" w:space="0"/>
              <w:left w:val="nil"/>
              <w:bottom w:val="single" w:color="000000" w:sz="4" w:space="0"/>
              <w:right w:val="single" w:color="000000" w:sz="4" w:space="0"/>
            </w:tcBorders>
            <w:noWrap w:val="0"/>
            <w:vAlign w:val="center"/>
          </w:tcPr>
          <w:p>
            <w:pPr>
              <w:widowControl/>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widowControl/>
              <w:spacing w:line="300" w:lineRule="exact"/>
              <w:rPr>
                <w:kern w:val="0"/>
                <w:szCs w:val="21"/>
              </w:rPr>
            </w:pPr>
            <w:r>
              <w:rPr>
                <w:kern w:val="0"/>
              </w:rPr>
              <w:t>对职工所提的建议及时进行反馈</w:t>
            </w:r>
          </w:p>
        </w:tc>
        <w:tc>
          <w:tcPr>
            <w:tcW w:w="1230" w:type="dxa"/>
            <w:tcBorders>
              <w:top w:val="single" w:color="000000" w:sz="4" w:space="0"/>
              <w:left w:val="nil"/>
              <w:bottom w:val="single" w:color="auto" w:sz="4" w:space="0"/>
              <w:right w:val="single" w:color="000000" w:sz="4" w:space="0"/>
            </w:tcBorders>
            <w:noWrap w:val="0"/>
            <w:vAlign w:val="center"/>
          </w:tcPr>
          <w:p>
            <w:pPr>
              <w:widowControl/>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spacing w:line="300" w:lineRule="exact"/>
              <w:rPr>
                <w:kern w:val="0"/>
                <w:szCs w:val="21"/>
              </w:rPr>
            </w:pPr>
            <w:r>
              <w:rPr>
                <w:kern w:val="0"/>
              </w:rPr>
              <w:t>公司制企业依法建立职工董事、职工监事制度</w:t>
            </w:r>
          </w:p>
        </w:tc>
        <w:tc>
          <w:tcPr>
            <w:tcW w:w="1230" w:type="dxa"/>
            <w:tcBorders>
              <w:top w:val="single" w:color="auto" w:sz="4" w:space="0"/>
              <w:left w:val="nil"/>
              <w:bottom w:val="single" w:color="000000" w:sz="4" w:space="0"/>
              <w:right w:val="single" w:color="000000" w:sz="4" w:space="0"/>
            </w:tcBorders>
            <w:noWrap w:val="0"/>
            <w:vAlign w:val="center"/>
          </w:tcPr>
          <w:p>
            <w:pPr>
              <w:widowControl/>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6"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r>
              <w:t>工会建设与集体协商制度</w:t>
            </w:r>
          </w:p>
          <w:p>
            <w:pPr>
              <w:spacing w:line="300" w:lineRule="exact"/>
              <w:jc w:val="center"/>
              <w:rPr>
                <w:szCs w:val="21"/>
              </w:rPr>
            </w:pPr>
            <w:r>
              <w:t>（9</w:t>
            </w:r>
            <w:r>
              <w:rPr>
                <w:kern w:val="0"/>
              </w:rPr>
              <w:t>分</w:t>
            </w:r>
            <w:r>
              <w:t>）</w:t>
            </w: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工会建设</w:t>
            </w:r>
          </w:p>
        </w:tc>
        <w:tc>
          <w:tcPr>
            <w:tcW w:w="4583" w:type="dxa"/>
            <w:tcBorders>
              <w:top w:val="single" w:color="000000" w:sz="4" w:space="0"/>
              <w:left w:val="nil"/>
              <w:bottom w:val="single" w:color="000000" w:sz="4" w:space="0"/>
              <w:right w:val="single" w:color="000000" w:sz="4" w:space="0"/>
            </w:tcBorders>
            <w:noWrap w:val="0"/>
            <w:vAlign w:val="center"/>
          </w:tcPr>
          <w:p>
            <w:pPr>
              <w:pStyle w:val="4"/>
              <w:widowControl/>
              <w:spacing w:line="300" w:lineRule="exact"/>
              <w:ind w:firstLine="0" w:firstLineChars="0"/>
              <w:rPr>
                <w:kern w:val="0"/>
              </w:rPr>
            </w:pPr>
            <w:r>
              <w:rPr>
                <w:kern w:val="0"/>
              </w:rPr>
              <w:t>依法建立工会组织，建立工会委员会、工会经费审查委员会、工会女职工委员会和工会劳动法律监督委员会</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1.5</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pStyle w:val="4"/>
              <w:widowControl/>
              <w:spacing w:line="300" w:lineRule="exact"/>
              <w:ind w:firstLine="0" w:firstLineChars="0"/>
              <w:rPr>
                <w:kern w:val="0"/>
              </w:rPr>
            </w:pPr>
            <w:r>
              <w:rPr>
                <w:kern w:val="0"/>
              </w:rPr>
              <w:t>企业依据相关规定及时足额拨缴工会经费</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pStyle w:val="4"/>
              <w:widowControl/>
              <w:spacing w:line="300" w:lineRule="exact"/>
              <w:ind w:firstLine="0" w:firstLineChars="0"/>
              <w:rPr>
                <w:kern w:val="0"/>
              </w:rPr>
            </w:pPr>
            <w:r>
              <w:rPr>
                <w:kern w:val="0"/>
              </w:rPr>
              <w:t>依法保障工会工作所需的人员、时间、场所等条件</w:t>
            </w:r>
          </w:p>
        </w:tc>
        <w:tc>
          <w:tcPr>
            <w:tcW w:w="1230" w:type="dxa"/>
            <w:tcBorders>
              <w:top w:val="single" w:color="000000" w:sz="4" w:space="0"/>
              <w:left w:val="nil"/>
              <w:bottom w:val="single" w:color="000000" w:sz="4" w:space="0"/>
              <w:right w:val="single" w:color="000000" w:sz="4" w:space="0"/>
            </w:tcBorders>
            <w:noWrap w:val="0"/>
            <w:vAlign w:val="center"/>
          </w:tcPr>
          <w:p>
            <w:pPr>
              <w:pStyle w:val="4"/>
              <w:widowControl/>
              <w:spacing w:line="300" w:lineRule="exact"/>
              <w:ind w:firstLine="0" w:firstLineChars="0"/>
              <w:jc w:val="center"/>
              <w:rPr>
                <w:kern w:val="0"/>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pStyle w:val="4"/>
              <w:widowControl/>
              <w:spacing w:line="300" w:lineRule="exact"/>
              <w:ind w:firstLine="0" w:firstLineChars="0"/>
              <w:rPr>
                <w:kern w:val="0"/>
              </w:rPr>
            </w:pPr>
            <w:r>
              <w:rPr>
                <w:kern w:val="0"/>
              </w:rPr>
              <w:t>每年至少开展工会活动2</w:t>
            </w:r>
            <w:r>
              <w:rPr>
                <w:rFonts w:ascii="宋体" w:hAnsi="宋体"/>
                <w:kern w:val="0"/>
              </w:rPr>
              <w:t>次</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178"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b/>
                <w:bCs/>
                <w:szCs w:val="21"/>
              </w:rPr>
            </w:pPr>
            <w:r>
              <w:rPr>
                <w:b/>
                <w:bCs/>
              </w:rPr>
              <w:t>一级指标</w:t>
            </w:r>
          </w:p>
        </w:tc>
        <w:tc>
          <w:tcPr>
            <w:tcW w:w="1274"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二级指标</w:t>
            </w:r>
          </w:p>
        </w:tc>
        <w:tc>
          <w:tcPr>
            <w:tcW w:w="4583"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评价标准</w:t>
            </w:r>
          </w:p>
        </w:tc>
        <w:tc>
          <w:tcPr>
            <w:tcW w:w="1230"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评分标准</w:t>
            </w:r>
          </w:p>
        </w:tc>
        <w:tc>
          <w:tcPr>
            <w:tcW w:w="977"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r>
              <w:t>工会建设与集体协商制度</w:t>
            </w:r>
          </w:p>
          <w:p>
            <w:pPr>
              <w:widowControl/>
              <w:jc w:val="left"/>
              <w:rPr>
                <w:szCs w:val="21"/>
              </w:rPr>
            </w:pPr>
            <w:r>
              <w:t>（9</w:t>
            </w:r>
            <w:r>
              <w:rPr>
                <w:kern w:val="0"/>
              </w:rPr>
              <w:t>分</w:t>
            </w:r>
            <w:r>
              <w:t>）</w:t>
            </w: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集体协商</w:t>
            </w:r>
          </w:p>
          <w:p>
            <w:pPr>
              <w:widowControl/>
              <w:spacing w:line="300" w:lineRule="exact"/>
              <w:jc w:val="center"/>
              <w:rPr>
                <w:kern w:val="0"/>
                <w:szCs w:val="21"/>
              </w:rPr>
            </w:pPr>
            <w:r>
              <w:rPr>
                <w:kern w:val="0"/>
              </w:rPr>
              <w:t>制度</w:t>
            </w:r>
          </w:p>
        </w:tc>
        <w:tc>
          <w:tcPr>
            <w:tcW w:w="4583" w:type="dxa"/>
            <w:tcBorders>
              <w:top w:val="single" w:color="000000" w:sz="4" w:space="0"/>
              <w:left w:val="nil"/>
              <w:bottom w:val="single" w:color="auto" w:sz="4" w:space="0"/>
              <w:right w:val="single" w:color="000000" w:sz="4" w:space="0"/>
            </w:tcBorders>
            <w:noWrap w:val="0"/>
            <w:vAlign w:val="center"/>
          </w:tcPr>
          <w:p>
            <w:pPr>
              <w:pStyle w:val="4"/>
              <w:widowControl/>
              <w:spacing w:line="300" w:lineRule="exact"/>
              <w:ind w:firstLine="0" w:firstLineChars="0"/>
              <w:rPr>
                <w:kern w:val="0"/>
              </w:rPr>
            </w:pPr>
            <w:r>
              <w:rPr>
                <w:kern w:val="0"/>
              </w:rPr>
              <w:t>每年至少开展一次集体协商</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pStyle w:val="4"/>
              <w:widowControl/>
              <w:spacing w:line="300" w:lineRule="exact"/>
              <w:ind w:firstLine="0" w:firstLineChars="0"/>
              <w:rPr>
                <w:kern w:val="0"/>
              </w:rPr>
            </w:pPr>
            <w:r>
              <w:rPr>
                <w:kern w:val="0"/>
              </w:rPr>
              <w:t>集体合同所涉及的内容包括但不限于工资、劳动安全卫生、女职工特殊保护等事项，集体合同根据集体协商结果产生</w:t>
            </w:r>
          </w:p>
        </w:tc>
        <w:tc>
          <w:tcPr>
            <w:tcW w:w="1230" w:type="dxa"/>
            <w:tcBorders>
              <w:top w:val="single" w:color="000000" w:sz="4" w:space="0"/>
              <w:left w:val="nil"/>
              <w:bottom w:val="single" w:color="auto" w:sz="4" w:space="0"/>
              <w:right w:val="single" w:color="000000" w:sz="4" w:space="0"/>
            </w:tcBorders>
            <w:noWrap w:val="0"/>
            <w:vAlign w:val="center"/>
          </w:tcPr>
          <w:p>
            <w:pPr>
              <w:pStyle w:val="4"/>
              <w:widowControl/>
              <w:spacing w:line="300" w:lineRule="exact"/>
              <w:ind w:firstLine="0" w:firstLineChars="0"/>
              <w:jc w:val="center"/>
              <w:rPr>
                <w:kern w:val="0"/>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8"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widowControl/>
              <w:spacing w:line="300" w:lineRule="exact"/>
              <w:rPr>
                <w:kern w:val="0"/>
                <w:szCs w:val="21"/>
              </w:rPr>
            </w:pPr>
            <w:r>
              <w:rPr>
                <w:kern w:val="0"/>
              </w:rPr>
              <w:t>集体合同依法递交劳动行政部门进行备案</w:t>
            </w:r>
          </w:p>
        </w:tc>
        <w:tc>
          <w:tcPr>
            <w:tcW w:w="1230"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widowControl/>
              <w:spacing w:line="300" w:lineRule="exact"/>
              <w:rPr>
                <w:kern w:val="0"/>
                <w:szCs w:val="21"/>
              </w:rPr>
            </w:pPr>
            <w:r>
              <w:rPr>
                <w:kern w:val="0"/>
              </w:rPr>
              <w:t>集体协商结果、理由以及生效的集体合同依法向职工公布</w:t>
            </w:r>
          </w:p>
        </w:tc>
        <w:tc>
          <w:tcPr>
            <w:tcW w:w="1230"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pStyle w:val="4"/>
              <w:widowControl/>
              <w:spacing w:line="300" w:lineRule="exact"/>
              <w:ind w:firstLine="0" w:firstLineChars="0"/>
              <w:rPr>
                <w:kern w:val="0"/>
              </w:rPr>
            </w:pPr>
            <w:r>
              <w:rPr>
                <w:kern w:val="0"/>
              </w:rPr>
              <w:t>全面履行集体合同</w:t>
            </w:r>
          </w:p>
        </w:tc>
        <w:tc>
          <w:tcPr>
            <w:tcW w:w="1230"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4"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widowControl/>
              <w:spacing w:line="300" w:lineRule="exact"/>
              <w:rPr>
                <w:kern w:val="0"/>
                <w:szCs w:val="21"/>
              </w:rPr>
            </w:pPr>
            <w:r>
              <w:rPr>
                <w:kern w:val="0"/>
              </w:rPr>
              <w:t>履行集体合同（含前述专项合同）的状况每年至少向职工(</w:t>
            </w:r>
            <w:r>
              <w:rPr>
                <w:rFonts w:ascii="宋体" w:hAnsi="宋体"/>
                <w:kern w:val="0"/>
              </w:rPr>
              <w:t>代表</w:t>
            </w:r>
            <w:r>
              <w:rPr>
                <w:kern w:val="0"/>
              </w:rPr>
              <w:t>)</w:t>
            </w:r>
            <w:r>
              <w:rPr>
                <w:rFonts w:ascii="宋体" w:hAnsi="宋体"/>
                <w:kern w:val="0"/>
              </w:rPr>
              <w:t>大会报告</w:t>
            </w:r>
            <w:r>
              <w:rPr>
                <w:kern w:val="0"/>
              </w:rPr>
              <w:t>1</w:t>
            </w:r>
            <w:r>
              <w:rPr>
                <w:rFonts w:ascii="宋体" w:hAnsi="宋体"/>
                <w:kern w:val="0"/>
              </w:rPr>
              <w:t>次以上，并及时向职工公布</w:t>
            </w:r>
          </w:p>
        </w:tc>
        <w:tc>
          <w:tcPr>
            <w:tcW w:w="1230"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工资专项集体合同、集体合同中的工资条款或者附件的履行情况每半年至少公布一次</w:t>
            </w:r>
          </w:p>
        </w:tc>
        <w:tc>
          <w:tcPr>
            <w:tcW w:w="1230" w:type="dxa"/>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p>
          <w:p>
            <w:pPr>
              <w:spacing w:line="300" w:lineRule="exact"/>
              <w:jc w:val="center"/>
            </w:pPr>
          </w:p>
          <w:p>
            <w:pPr>
              <w:spacing w:line="300" w:lineRule="exact"/>
              <w:jc w:val="center"/>
            </w:pPr>
          </w:p>
          <w:p>
            <w:pPr>
              <w:spacing w:line="300" w:lineRule="exact"/>
              <w:jc w:val="center"/>
            </w:pPr>
          </w:p>
          <w:p>
            <w:pPr>
              <w:spacing w:line="300" w:lineRule="exact"/>
              <w:jc w:val="center"/>
            </w:pPr>
          </w:p>
          <w:p>
            <w:pPr>
              <w:spacing w:line="300" w:lineRule="exact"/>
              <w:jc w:val="center"/>
            </w:pPr>
          </w:p>
          <w:p>
            <w:pPr>
              <w:spacing w:line="300" w:lineRule="exact"/>
              <w:jc w:val="center"/>
            </w:pPr>
            <w:r>
              <w:t>争议调处</w:t>
            </w:r>
          </w:p>
          <w:p>
            <w:pPr>
              <w:spacing w:line="300" w:lineRule="exact"/>
              <w:jc w:val="center"/>
              <w:rPr>
                <w:szCs w:val="21"/>
              </w:rPr>
            </w:pPr>
            <w:r>
              <w:t>（9</w:t>
            </w:r>
            <w:r>
              <w:rPr>
                <w:kern w:val="0"/>
              </w:rPr>
              <w:t>分</w:t>
            </w:r>
            <w:r>
              <w:t>）</w:t>
            </w: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普法宣传</w:t>
            </w:r>
          </w:p>
        </w:tc>
        <w:tc>
          <w:tcPr>
            <w:tcW w:w="4583" w:type="dxa"/>
            <w:tcBorders>
              <w:top w:val="single" w:color="000000" w:sz="4" w:space="0"/>
              <w:left w:val="nil"/>
              <w:bottom w:val="single" w:color="auto" w:sz="4" w:space="0"/>
              <w:right w:val="single" w:color="000000" w:sz="4" w:space="0"/>
            </w:tcBorders>
            <w:noWrap w:val="0"/>
            <w:vAlign w:val="center"/>
          </w:tcPr>
          <w:p>
            <w:pPr>
              <w:pStyle w:val="4"/>
              <w:widowControl/>
              <w:spacing w:line="300" w:lineRule="exact"/>
              <w:ind w:firstLine="0" w:firstLineChars="0"/>
              <w:rPr>
                <w:kern w:val="0"/>
              </w:rPr>
            </w:pPr>
            <w:r>
              <w:t>定期组织开展劳动法律知识宣传和培训</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highlight w:val="yellow"/>
              </w:rPr>
            </w:pPr>
            <w:r>
              <w:t>0.5</w:t>
            </w:r>
            <w:r>
              <w:rPr>
                <w:rFonts w:ascii="宋体" w:hAnsi="宋体"/>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pStyle w:val="4"/>
              <w:widowControl/>
              <w:spacing w:line="300" w:lineRule="exact"/>
              <w:ind w:firstLine="0" w:firstLineChars="0"/>
            </w:pPr>
            <w:r>
              <w:t>企业主要负责人参加上级组织的劳动法律知识培训</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szCs w:val="21"/>
              </w:rPr>
            </w:pPr>
            <w:r>
              <w:t>0.5</w:t>
            </w:r>
            <w:r>
              <w:rPr>
                <w:rFonts w:ascii="宋体" w:hAnsi="宋体"/>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auto" w:sz="4" w:space="0"/>
              <w:right w:val="single" w:color="000000" w:sz="4" w:space="0"/>
            </w:tcBorders>
            <w:noWrap w:val="0"/>
            <w:vAlign w:val="center"/>
          </w:tcPr>
          <w:p>
            <w:pPr>
              <w:pStyle w:val="4"/>
              <w:widowControl/>
              <w:spacing w:line="300" w:lineRule="exact"/>
              <w:ind w:firstLine="0" w:firstLineChars="0"/>
              <w:rPr>
                <w:spacing w:val="-6"/>
                <w:kern w:val="0"/>
              </w:rPr>
            </w:pPr>
            <w:r>
              <w:rPr>
                <w:spacing w:val="-6"/>
                <w:kern w:val="0"/>
              </w:rPr>
              <w:t>定期组织开展劳动法律实施情况的监督自查活动</w:t>
            </w:r>
          </w:p>
        </w:tc>
        <w:tc>
          <w:tcPr>
            <w:tcW w:w="1230" w:type="dxa"/>
            <w:tcBorders>
              <w:top w:val="single" w:color="000000" w:sz="4" w:space="0"/>
              <w:left w:val="nil"/>
              <w:bottom w:val="single" w:color="auto" w:sz="4" w:space="0"/>
              <w:right w:val="single" w:color="000000" w:sz="4" w:space="0"/>
            </w:tcBorders>
            <w:noWrap w:val="0"/>
            <w:vAlign w:val="center"/>
          </w:tcPr>
          <w:p>
            <w:pPr>
              <w:widowControl/>
              <w:spacing w:line="300" w:lineRule="exact"/>
              <w:jc w:val="center"/>
              <w:rPr>
                <w:szCs w:val="21"/>
              </w:rPr>
            </w:pPr>
            <w:r>
              <w:t>0.5</w:t>
            </w:r>
            <w:r>
              <w:rPr>
                <w:rFonts w:ascii="宋体" w:hAnsi="宋体"/>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spacing w:line="300" w:lineRule="exact"/>
              <w:jc w:val="center"/>
              <w:rPr>
                <w:kern w:val="0"/>
                <w:szCs w:val="21"/>
              </w:rPr>
            </w:pPr>
            <w:r>
              <w:rPr>
                <w:kern w:val="0"/>
              </w:rPr>
              <w:t>调解组织</w:t>
            </w:r>
          </w:p>
        </w:tc>
        <w:tc>
          <w:tcPr>
            <w:tcW w:w="4583" w:type="dxa"/>
            <w:tcBorders>
              <w:top w:val="single" w:color="auto" w:sz="4" w:space="0"/>
              <w:left w:val="nil"/>
              <w:bottom w:val="single" w:color="auto" w:sz="4" w:space="0"/>
              <w:right w:val="single" w:color="000000" w:sz="4" w:space="0"/>
            </w:tcBorders>
            <w:noWrap w:val="0"/>
            <w:vAlign w:val="center"/>
          </w:tcPr>
          <w:p>
            <w:pPr>
              <w:pStyle w:val="4"/>
              <w:spacing w:line="300" w:lineRule="exact"/>
              <w:ind w:firstLine="0" w:firstLineChars="0"/>
              <w:rPr>
                <w:kern w:val="0"/>
              </w:rPr>
            </w:pPr>
            <w:r>
              <w:rPr>
                <w:kern w:val="0"/>
              </w:rPr>
              <w:t>建立劳动争议调解组织，组织功能健全</w:t>
            </w:r>
          </w:p>
        </w:tc>
        <w:tc>
          <w:tcPr>
            <w:tcW w:w="1230" w:type="dxa"/>
            <w:tcBorders>
              <w:top w:val="single" w:color="auto" w:sz="4" w:space="0"/>
              <w:left w:val="nil"/>
              <w:bottom w:val="single" w:color="auto" w:sz="4" w:space="0"/>
              <w:right w:val="single" w:color="000000" w:sz="4" w:space="0"/>
            </w:tcBorders>
            <w:noWrap w:val="0"/>
            <w:vAlign w:val="center"/>
          </w:tcPr>
          <w:p>
            <w:pPr>
              <w:spacing w:line="300" w:lineRule="exact"/>
              <w:jc w:val="center"/>
              <w:rPr>
                <w:kern w:val="0"/>
                <w:szCs w:val="21"/>
              </w:rPr>
            </w:pPr>
            <w:r>
              <w:rPr>
                <w:kern w:val="0"/>
              </w:rPr>
              <w:t>1</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auto" w:sz="4" w:space="0"/>
              <w:right w:val="single" w:color="000000" w:sz="4" w:space="0"/>
            </w:tcBorders>
            <w:noWrap w:val="0"/>
            <w:vAlign w:val="center"/>
          </w:tcPr>
          <w:p>
            <w:pPr>
              <w:pStyle w:val="4"/>
              <w:widowControl/>
              <w:spacing w:line="300" w:lineRule="exact"/>
              <w:ind w:firstLine="0" w:firstLineChars="0"/>
              <w:rPr>
                <w:kern w:val="0"/>
              </w:rPr>
            </w:pPr>
            <w:r>
              <w:rPr>
                <w:kern w:val="0"/>
              </w:rPr>
              <w:t>调解组织组成结构合理，人员配备齐全</w:t>
            </w:r>
          </w:p>
        </w:tc>
        <w:tc>
          <w:tcPr>
            <w:tcW w:w="1230"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kern w:val="0"/>
                <w:szCs w:val="21"/>
                <w:highlight w:val="yellow"/>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pStyle w:val="4"/>
              <w:widowControl/>
              <w:spacing w:line="300" w:lineRule="exact"/>
              <w:ind w:firstLine="0" w:firstLineChars="0"/>
            </w:pPr>
            <w:r>
              <w:t>配备有1</w:t>
            </w:r>
            <w:r>
              <w:rPr>
                <w:rFonts w:ascii="宋体" w:hAnsi="宋体"/>
              </w:rPr>
              <w:t>名以上调解员，且具有劳动关系协调员（师）资格</w:t>
            </w:r>
          </w:p>
        </w:tc>
        <w:tc>
          <w:tcPr>
            <w:tcW w:w="1230" w:type="dxa"/>
            <w:tcBorders>
              <w:top w:val="single" w:color="auto" w:sz="4" w:space="0"/>
              <w:left w:val="nil"/>
              <w:bottom w:val="single" w:color="000000" w:sz="4" w:space="0"/>
              <w:right w:val="single" w:color="000000" w:sz="4" w:space="0"/>
            </w:tcBorders>
            <w:noWrap w:val="0"/>
            <w:vAlign w:val="center"/>
          </w:tcPr>
          <w:p>
            <w:pPr>
              <w:widowControl/>
              <w:spacing w:line="300" w:lineRule="exact"/>
              <w:jc w:val="center"/>
              <w:rPr>
                <w:kern w:val="0"/>
                <w:szCs w:val="21"/>
                <w:highlight w:val="yellow"/>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预警机制</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建立劳动争议预警机制</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依法报告裁员、欠薪和重大劳动争议事项</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p>
            <w:pPr>
              <w:widowControl/>
              <w:spacing w:line="300" w:lineRule="exact"/>
              <w:jc w:val="left"/>
              <w:rPr>
                <w:kern w:val="0"/>
                <w:szCs w:val="21"/>
              </w:rPr>
            </w:pPr>
            <w:r>
              <w:rPr>
                <w:kern w:val="0"/>
                <w:sz w:val="18"/>
                <w:szCs w:val="18"/>
              </w:rPr>
              <w:t>（如未发生裁员、欠薪和重大劳动争议事项，自动得分</w:t>
            </w:r>
            <w:r>
              <w:rPr>
                <w:kern w:val="0"/>
              </w:rPr>
              <w:t>）</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沟通和投诉渠道</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建立多种形式的职工沟通渠道，确保员工能够及时向企业表达各种利益诉求</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8"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无企业原因引发的职工越级上访</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有效调处</w:t>
            </w:r>
          </w:p>
          <w:p>
            <w:pPr>
              <w:widowControl/>
              <w:spacing w:line="300" w:lineRule="exact"/>
              <w:jc w:val="center"/>
              <w:rPr>
                <w:kern w:val="0"/>
                <w:szCs w:val="21"/>
              </w:rPr>
            </w:pPr>
            <w:r>
              <w:rPr>
                <w:kern w:val="0"/>
              </w:rPr>
              <w:t>（两种情形选择其中之一计分）</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评估确认期内企业未发生劳动争议仲裁、诉讼案件。</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2</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6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或：</w:t>
            </w:r>
          </w:p>
          <w:p>
            <w:pPr>
              <w:widowControl/>
              <w:spacing w:line="300" w:lineRule="exact"/>
              <w:rPr>
                <w:kern w:val="0"/>
              </w:rPr>
            </w:pPr>
            <w:r>
              <w:rPr>
                <w:rFonts w:hint="eastAsia" w:ascii="宋体" w:hAnsi="宋体" w:cs="宋体"/>
                <w:kern w:val="0"/>
              </w:rPr>
              <w:t>①</w:t>
            </w:r>
            <w:r>
              <w:rPr>
                <w:rFonts w:ascii="宋体" w:hAnsi="宋体"/>
                <w:kern w:val="0"/>
              </w:rPr>
              <w:t>评估确认期内年度发生劳动争议仲裁、诉讼案件所涉及职工人数不超过职工总人数的</w:t>
            </w:r>
            <w:r>
              <w:rPr>
                <w:kern w:val="0"/>
              </w:rPr>
              <w:t>1%</w:t>
            </w:r>
            <w:r>
              <w:rPr>
                <w:rFonts w:ascii="宋体" w:hAnsi="宋体"/>
                <w:kern w:val="0"/>
              </w:rPr>
              <w:t>；</w:t>
            </w:r>
          </w:p>
          <w:p>
            <w:pPr>
              <w:widowControl/>
              <w:spacing w:line="300" w:lineRule="exact"/>
              <w:rPr>
                <w:kern w:val="0"/>
              </w:rPr>
            </w:pPr>
            <w:r>
              <w:rPr>
                <w:rFonts w:hint="eastAsia" w:ascii="宋体" w:hAnsi="宋体" w:cs="宋体"/>
                <w:kern w:val="0"/>
              </w:rPr>
              <w:t>②</w:t>
            </w:r>
            <w:r>
              <w:rPr>
                <w:rFonts w:ascii="宋体" w:hAnsi="宋体"/>
                <w:kern w:val="0"/>
              </w:rPr>
              <w:t>发生劳动争议，申请调解组织调解率不低于</w:t>
            </w:r>
            <w:r>
              <w:rPr>
                <w:kern w:val="0"/>
              </w:rPr>
              <w:t>50%</w:t>
            </w:r>
            <w:r>
              <w:rPr>
                <w:rFonts w:ascii="宋体" w:hAnsi="宋体"/>
                <w:kern w:val="0"/>
              </w:rPr>
              <w:t>；</w:t>
            </w:r>
          </w:p>
          <w:p>
            <w:pPr>
              <w:pStyle w:val="4"/>
              <w:spacing w:line="300" w:lineRule="exact"/>
              <w:ind w:firstLine="0" w:firstLineChars="0"/>
              <w:rPr>
                <w:kern w:val="0"/>
              </w:rPr>
            </w:pPr>
            <w:r>
              <w:rPr>
                <w:rFonts w:hint="eastAsia" w:ascii="宋体" w:hAnsi="宋体" w:cs="宋体"/>
                <w:kern w:val="0"/>
              </w:rPr>
              <w:t>③</w:t>
            </w:r>
            <w:r>
              <w:rPr>
                <w:rFonts w:ascii="宋体" w:hAnsi="宋体"/>
                <w:kern w:val="0"/>
              </w:rPr>
              <w:t>调解组织有效运作</w:t>
            </w:r>
            <w:r>
              <w:rPr>
                <w:spacing w:val="-6"/>
                <w:kern w:val="0"/>
              </w:rPr>
              <w:t>，调解成功率达到80</w:t>
            </w:r>
            <w:r>
              <w:rPr>
                <w:rFonts w:ascii="宋体" w:hAnsi="宋体"/>
                <w:spacing w:val="-6"/>
                <w:kern w:val="0"/>
              </w:rPr>
              <w:t>％以上。</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rFonts w:hint="eastAsia" w:ascii="宋体" w:hAnsi="宋体" w:cs="宋体"/>
                <w:kern w:val="0"/>
              </w:rPr>
              <w:t>①</w:t>
            </w:r>
            <w:r>
              <w:rPr>
                <w:kern w:val="0"/>
              </w:rPr>
              <w:t>1</w:t>
            </w:r>
            <w:r>
              <w:rPr>
                <w:rFonts w:ascii="宋体" w:hAnsi="宋体"/>
                <w:kern w:val="0"/>
              </w:rPr>
              <w:t>分</w:t>
            </w:r>
          </w:p>
          <w:p>
            <w:pPr>
              <w:widowControl/>
              <w:spacing w:line="300" w:lineRule="exact"/>
              <w:jc w:val="center"/>
              <w:rPr>
                <w:kern w:val="0"/>
              </w:rPr>
            </w:pPr>
            <w:r>
              <w:rPr>
                <w:rFonts w:hint="eastAsia" w:ascii="宋体" w:hAnsi="宋体" w:cs="宋体"/>
                <w:kern w:val="0"/>
              </w:rPr>
              <w:t>②③</w:t>
            </w:r>
            <w:r>
              <w:rPr>
                <w:rFonts w:ascii="宋体" w:hAnsi="宋体"/>
                <w:kern w:val="0"/>
              </w:rPr>
              <w:t>各</w:t>
            </w:r>
            <w:r>
              <w:rPr>
                <w:kern w:val="0"/>
              </w:rPr>
              <w:t>0.5</w:t>
            </w:r>
            <w:r>
              <w:rPr>
                <w:rFonts w:ascii="宋体" w:hAnsi="宋体"/>
                <w:kern w:val="0"/>
              </w:rPr>
              <w:t>分</w:t>
            </w:r>
          </w:p>
          <w:p>
            <w:pPr>
              <w:pStyle w:val="4"/>
              <w:widowControl/>
              <w:spacing w:line="300" w:lineRule="exact"/>
              <w:ind w:firstLine="0" w:firstLineChars="0"/>
              <w:jc w:val="center"/>
              <w:rPr>
                <w:kern w:val="0"/>
              </w:rPr>
            </w:pP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1178"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b/>
                <w:bCs/>
                <w:szCs w:val="21"/>
              </w:rPr>
            </w:pPr>
            <w:r>
              <w:rPr>
                <w:b/>
                <w:bCs/>
              </w:rPr>
              <w:t>一级指标</w:t>
            </w:r>
          </w:p>
        </w:tc>
        <w:tc>
          <w:tcPr>
            <w:tcW w:w="1274"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二级指标</w:t>
            </w:r>
          </w:p>
        </w:tc>
        <w:tc>
          <w:tcPr>
            <w:tcW w:w="4583"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评价标准</w:t>
            </w:r>
          </w:p>
        </w:tc>
        <w:tc>
          <w:tcPr>
            <w:tcW w:w="1230"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评分标准</w:t>
            </w:r>
          </w:p>
        </w:tc>
        <w:tc>
          <w:tcPr>
            <w:tcW w:w="977" w:type="dxa"/>
            <w:tcBorders>
              <w:top w:val="single" w:color="000000" w:sz="4" w:space="0"/>
              <w:left w:val="nil"/>
              <w:bottom w:val="single" w:color="000000" w:sz="4" w:space="0"/>
              <w:right w:val="single" w:color="000000" w:sz="4" w:space="0"/>
            </w:tcBorders>
            <w:noWrap w:val="0"/>
            <w:vAlign w:val="center"/>
          </w:tcPr>
          <w:p>
            <w:pPr>
              <w:spacing w:line="300" w:lineRule="exact"/>
              <w:jc w:val="center"/>
              <w:rPr>
                <w:b/>
                <w:bCs/>
                <w:szCs w:val="21"/>
              </w:rPr>
            </w:pPr>
            <w:r>
              <w:rPr>
                <w:b/>
                <w:bCs/>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r>
              <w:t>企业文化</w:t>
            </w:r>
          </w:p>
          <w:p>
            <w:pPr>
              <w:spacing w:line="300" w:lineRule="exact"/>
              <w:jc w:val="center"/>
              <w:rPr>
                <w:szCs w:val="21"/>
              </w:rPr>
            </w:pPr>
            <w:r>
              <w:t>（9</w:t>
            </w:r>
            <w:r>
              <w:rPr>
                <w:kern w:val="0"/>
              </w:rPr>
              <w:t>分</w:t>
            </w:r>
            <w:r>
              <w:t>）</w:t>
            </w:r>
          </w:p>
        </w:tc>
        <w:tc>
          <w:tcPr>
            <w:tcW w:w="1274"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企业精神</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加强企业文化建设，体现合作共赢、和谐发展的核心价值理念</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文体活动</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定期组织开展职工文体活动等有益身心健康的活动</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面向职工配备有多种文娱体育设施、场所，并保障其正常开放</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t>培训教育</w:t>
            </w:r>
          </w:p>
        </w:tc>
        <w:tc>
          <w:tcPr>
            <w:tcW w:w="4583" w:type="dxa"/>
            <w:tcBorders>
              <w:top w:val="single" w:color="000000" w:sz="4" w:space="0"/>
              <w:left w:val="nil"/>
              <w:bottom w:val="single" w:color="000000" w:sz="4" w:space="0"/>
              <w:right w:val="single" w:color="000000" w:sz="4" w:space="0"/>
            </w:tcBorders>
            <w:noWrap w:val="0"/>
            <w:vAlign w:val="center"/>
          </w:tcPr>
          <w:p>
            <w:pPr>
              <w:pStyle w:val="4"/>
              <w:widowControl/>
              <w:spacing w:line="300" w:lineRule="exact"/>
              <w:ind w:firstLine="0" w:firstLineChars="0"/>
              <w:rPr>
                <w:kern w:val="0"/>
              </w:rPr>
            </w:pPr>
            <w:r>
              <w:rPr>
                <w:kern w:val="0"/>
              </w:rPr>
              <w:t>职工教育培训经费依法提取、管理和使用</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1.5</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t>每年开展职工职业技能培训</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szCs w:val="21"/>
              </w:rPr>
            </w:pPr>
            <w:r>
              <w:t>0.5</w:t>
            </w:r>
            <w:r>
              <w:rPr>
                <w:rFonts w:ascii="宋体" w:hAnsi="宋体"/>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结合企业所在行业及生产运营的特点，开展劳动比赛、技能比武、合理化建议活动等</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szCs w:val="21"/>
              </w:rPr>
            </w:pPr>
            <w:r>
              <w:t>0.5</w:t>
            </w:r>
            <w:r>
              <w:rPr>
                <w:rFonts w:ascii="宋体" w:hAnsi="宋体"/>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新员工能接受系统的入职培训</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szCs w:val="21"/>
              </w:rPr>
            </w:pPr>
            <w:r>
              <w:t>0.5</w:t>
            </w:r>
            <w:r>
              <w:rPr>
                <w:rFonts w:ascii="宋体" w:hAnsi="宋体"/>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人文关怀</w:t>
            </w:r>
          </w:p>
        </w:tc>
        <w:tc>
          <w:tcPr>
            <w:tcW w:w="4583" w:type="dxa"/>
            <w:tcBorders>
              <w:top w:val="single" w:color="000000" w:sz="4" w:space="0"/>
              <w:left w:val="nil"/>
              <w:bottom w:val="single" w:color="auto" w:sz="4" w:space="0"/>
              <w:right w:val="single" w:color="000000" w:sz="4" w:space="0"/>
            </w:tcBorders>
            <w:noWrap w:val="0"/>
            <w:vAlign w:val="center"/>
          </w:tcPr>
          <w:p>
            <w:pPr>
              <w:pStyle w:val="4"/>
              <w:widowControl/>
              <w:spacing w:line="300" w:lineRule="exact"/>
              <w:ind w:firstLine="0" w:firstLineChars="0"/>
              <w:rPr>
                <w:kern w:val="0"/>
              </w:rPr>
            </w:pPr>
            <w:r>
              <w:rPr>
                <w:kern w:val="0"/>
              </w:rPr>
              <w:t>组织员工作定期健康检查</w:t>
            </w:r>
          </w:p>
        </w:tc>
        <w:tc>
          <w:tcPr>
            <w:tcW w:w="1230" w:type="dxa"/>
            <w:tcBorders>
              <w:top w:val="nil"/>
              <w:left w:val="nil"/>
              <w:bottom w:val="single" w:color="auto" w:sz="4" w:space="0"/>
              <w:right w:val="single" w:color="000000" w:sz="4" w:space="0"/>
            </w:tcBorders>
            <w:noWrap w:val="0"/>
            <w:vAlign w:val="center"/>
          </w:tcPr>
          <w:p>
            <w:pPr>
              <w:widowControl/>
              <w:spacing w:line="300" w:lineRule="exact"/>
              <w:jc w:val="center"/>
              <w:rPr>
                <w:kern w:val="0"/>
                <w:szCs w:val="21"/>
              </w:rPr>
            </w:pPr>
            <w:r>
              <w:rPr>
                <w:kern w:val="0"/>
              </w:rPr>
              <w:t>1</w:t>
            </w:r>
            <w:r>
              <w:rPr>
                <w:rFonts w:ascii="宋体" w:hAnsi="宋体"/>
                <w:kern w:val="0"/>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auto" w:sz="4" w:space="0"/>
              <w:left w:val="nil"/>
              <w:bottom w:val="single" w:color="000000" w:sz="4" w:space="0"/>
              <w:right w:val="single" w:color="000000" w:sz="4" w:space="0"/>
            </w:tcBorders>
            <w:noWrap w:val="0"/>
            <w:vAlign w:val="center"/>
          </w:tcPr>
          <w:p>
            <w:pPr>
              <w:widowControl/>
              <w:spacing w:line="300" w:lineRule="exact"/>
              <w:rPr>
                <w:kern w:val="0"/>
                <w:szCs w:val="21"/>
              </w:rPr>
            </w:pPr>
            <w:r>
              <w:t>为员工提供心理健康咨询服务</w:t>
            </w:r>
          </w:p>
        </w:tc>
        <w:tc>
          <w:tcPr>
            <w:tcW w:w="1230" w:type="dxa"/>
            <w:tcBorders>
              <w:top w:val="single" w:color="auto" w:sz="4" w:space="0"/>
              <w:left w:val="nil"/>
              <w:bottom w:val="single" w:color="000000" w:sz="4" w:space="0"/>
              <w:right w:val="single" w:color="000000" w:sz="4" w:space="0"/>
            </w:tcBorders>
            <w:noWrap w:val="0"/>
            <w:vAlign w:val="center"/>
          </w:tcPr>
          <w:p>
            <w:pPr>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kern w:val="0"/>
                <w:szCs w:val="21"/>
              </w:rPr>
            </w:pPr>
            <w:r>
              <w:rPr>
                <w:kern w:val="0"/>
              </w:rPr>
              <w:t>根据企业特点给予其他形式的人文关怀</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0.5</w:t>
            </w:r>
            <w:r>
              <w:rPr>
                <w:rFonts w:ascii="宋体" w:hAnsi="宋体"/>
                <w:kern w:val="0"/>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kern w:val="0"/>
                <w:szCs w:val="21"/>
              </w:rPr>
            </w:pPr>
            <w:r>
              <w:rPr>
                <w:kern w:val="0"/>
              </w:rPr>
              <w:t>公益活动</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spacing w:val="-6"/>
                <w:kern w:val="0"/>
                <w:szCs w:val="21"/>
              </w:rPr>
            </w:pPr>
            <w:r>
              <w:rPr>
                <w:spacing w:val="-6"/>
                <w:kern w:val="0"/>
              </w:rPr>
              <w:t>符合国家、行业和地方的环境保护和节能减排规定</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szCs w:val="21"/>
              </w:rPr>
            </w:pPr>
            <w:r>
              <w:t>0.5</w:t>
            </w:r>
            <w:r>
              <w:rPr>
                <w:rFonts w:ascii="宋体" w:hAnsi="宋体"/>
              </w:rPr>
              <w:t>分</w:t>
            </w:r>
          </w:p>
        </w:tc>
        <w:tc>
          <w:tcPr>
            <w:tcW w:w="977" w:type="dxa"/>
            <w:vMerge w:val="restart"/>
            <w:tcBorders>
              <w:top w:val="nil"/>
              <w:left w:val="nil"/>
              <w:bottom w:val="single" w:color="000000" w:sz="4" w:space="0"/>
              <w:right w:val="single" w:color="000000" w:sz="4" w:space="0"/>
            </w:tcBorders>
            <w:noWrap w:val="0"/>
            <w:vAlign w:val="center"/>
          </w:tcPr>
          <w:p>
            <w:pPr>
              <w:widowControl/>
              <w:spacing w:line="300" w:lineRule="exact"/>
              <w:jc w:val="center"/>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1274" w:type="dxa"/>
            <w:vMerge w:val="continue"/>
            <w:tcBorders>
              <w:top w:val="nil"/>
              <w:left w:val="nil"/>
              <w:bottom w:val="single" w:color="000000" w:sz="4" w:space="0"/>
              <w:right w:val="single" w:color="000000" w:sz="4" w:space="0"/>
            </w:tcBorders>
            <w:noWrap w:val="0"/>
            <w:vAlign w:val="center"/>
          </w:tcPr>
          <w:p>
            <w:pPr>
              <w:widowControl/>
              <w:jc w:val="left"/>
              <w:rPr>
                <w:kern w:val="0"/>
                <w:szCs w:val="21"/>
              </w:rPr>
            </w:pP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szCs w:val="21"/>
              </w:rPr>
            </w:pPr>
            <w:r>
              <w:t>参加慈善捐助和社会公益活动</w:t>
            </w:r>
          </w:p>
        </w:tc>
        <w:tc>
          <w:tcPr>
            <w:tcW w:w="1230"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szCs w:val="21"/>
              </w:rPr>
            </w:pPr>
            <w:r>
              <w:t>0.5</w:t>
            </w:r>
            <w:r>
              <w:rPr>
                <w:rFonts w:ascii="宋体" w:hAnsi="宋体"/>
              </w:rPr>
              <w:t>分</w:t>
            </w:r>
          </w:p>
        </w:tc>
        <w:tc>
          <w:tcPr>
            <w:tcW w:w="977" w:type="dxa"/>
            <w:vMerge w:val="continue"/>
            <w:tcBorders>
              <w:top w:val="nil"/>
              <w:left w:val="nil"/>
              <w:bottom w:val="single" w:color="000000" w:sz="4" w:space="0"/>
              <w:right w:val="single" w:color="000000" w:sz="4" w:space="0"/>
            </w:tcBorders>
            <w:noWrap w:val="0"/>
            <w:vAlign w:val="center"/>
          </w:tcPr>
          <w:p>
            <w:pPr>
              <w:widowControl/>
              <w:jc w:val="left"/>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86" w:hRule="atLeast"/>
          <w:jc w:val="center"/>
        </w:trPr>
        <w:tc>
          <w:tcPr>
            <w:tcW w:w="1178"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szCs w:val="21"/>
              </w:rPr>
            </w:pPr>
            <w:r>
              <w:t>职工</w:t>
            </w:r>
          </w:p>
          <w:p>
            <w:pPr>
              <w:spacing w:line="300" w:lineRule="exact"/>
              <w:jc w:val="center"/>
            </w:pPr>
            <w:r>
              <w:t>满意度</w:t>
            </w:r>
          </w:p>
          <w:p>
            <w:pPr>
              <w:spacing w:line="300" w:lineRule="exact"/>
              <w:jc w:val="center"/>
              <w:rPr>
                <w:szCs w:val="21"/>
              </w:rPr>
            </w:pPr>
            <w:r>
              <w:t>（20</w:t>
            </w:r>
            <w:r>
              <w:rPr>
                <w:kern w:val="0"/>
              </w:rPr>
              <w:t>分</w:t>
            </w:r>
            <w:r>
              <w:t>）</w:t>
            </w:r>
          </w:p>
        </w:tc>
        <w:tc>
          <w:tcPr>
            <w:tcW w:w="1274" w:type="dxa"/>
            <w:tcBorders>
              <w:top w:val="single" w:color="000000" w:sz="4" w:space="0"/>
              <w:left w:val="nil"/>
              <w:bottom w:val="single" w:color="000000" w:sz="4" w:space="0"/>
              <w:right w:val="single" w:color="000000" w:sz="4" w:space="0"/>
            </w:tcBorders>
            <w:noWrap w:val="0"/>
            <w:vAlign w:val="center"/>
          </w:tcPr>
          <w:p>
            <w:pPr>
              <w:spacing w:line="300" w:lineRule="exact"/>
              <w:jc w:val="center"/>
              <w:rPr>
                <w:szCs w:val="21"/>
              </w:rPr>
            </w:pPr>
            <w:r>
              <w:t>民主测评</w:t>
            </w:r>
          </w:p>
        </w:tc>
        <w:tc>
          <w:tcPr>
            <w:tcW w:w="4583" w:type="dxa"/>
            <w:tcBorders>
              <w:top w:val="single" w:color="000000" w:sz="4" w:space="0"/>
              <w:left w:val="nil"/>
              <w:bottom w:val="single" w:color="000000" w:sz="4" w:space="0"/>
              <w:right w:val="single" w:color="000000" w:sz="4" w:space="0"/>
            </w:tcBorders>
            <w:noWrap w:val="0"/>
            <w:vAlign w:val="center"/>
          </w:tcPr>
          <w:p>
            <w:pPr>
              <w:widowControl/>
              <w:spacing w:line="300" w:lineRule="exact"/>
              <w:rPr>
                <w:szCs w:val="21"/>
              </w:rPr>
            </w:pPr>
            <w:r>
              <w:t>劳动者对企业整体的满意度（1</w:t>
            </w:r>
            <w:r>
              <w:rPr>
                <w:rFonts w:ascii="宋体" w:hAnsi="宋体"/>
              </w:rPr>
              <w:t>分）：</w:t>
            </w:r>
          </w:p>
          <w:p>
            <w:pPr>
              <w:widowControl/>
              <w:spacing w:line="300" w:lineRule="exact"/>
            </w:pPr>
            <w:r>
              <w:t>企业同事间关系融洽（1</w:t>
            </w:r>
            <w:r>
              <w:rPr>
                <w:rFonts w:ascii="宋体" w:hAnsi="宋体"/>
              </w:rPr>
              <w:t>分）；</w:t>
            </w:r>
          </w:p>
          <w:p>
            <w:pPr>
              <w:widowControl/>
              <w:spacing w:line="300" w:lineRule="exact"/>
            </w:pPr>
            <w:r>
              <w:t>企业与职工沟通顺畅（1</w:t>
            </w:r>
            <w:r>
              <w:rPr>
                <w:rFonts w:ascii="宋体" w:hAnsi="宋体"/>
              </w:rPr>
              <w:t>分）；</w:t>
            </w:r>
          </w:p>
          <w:p>
            <w:pPr>
              <w:widowControl/>
              <w:spacing w:line="300" w:lineRule="exact"/>
            </w:pPr>
            <w:r>
              <w:t>对职业发展机会满意（2</w:t>
            </w:r>
            <w:r>
              <w:rPr>
                <w:kern w:val="0"/>
              </w:rPr>
              <w:t>分）</w:t>
            </w:r>
            <w:r>
              <w:t>；</w:t>
            </w:r>
          </w:p>
          <w:p>
            <w:pPr>
              <w:widowControl/>
              <w:spacing w:line="300" w:lineRule="exact"/>
            </w:pPr>
            <w:r>
              <w:t>有较强参与度和归属感（2</w:t>
            </w:r>
            <w:r>
              <w:rPr>
                <w:kern w:val="0"/>
              </w:rPr>
              <w:t>分）</w:t>
            </w:r>
            <w:r>
              <w:t>；</w:t>
            </w:r>
          </w:p>
          <w:p>
            <w:pPr>
              <w:widowControl/>
              <w:spacing w:line="300" w:lineRule="exact"/>
            </w:pPr>
            <w:r>
              <w:t>对企业日常管理行为满意（1</w:t>
            </w:r>
            <w:r>
              <w:rPr>
                <w:rFonts w:ascii="宋体" w:hAnsi="宋体"/>
              </w:rPr>
              <w:t>分）；</w:t>
            </w:r>
          </w:p>
          <w:p>
            <w:pPr>
              <w:widowControl/>
              <w:spacing w:line="300" w:lineRule="exact"/>
            </w:pPr>
            <w:r>
              <w:t>工作认可度高（1</w:t>
            </w:r>
            <w:r>
              <w:rPr>
                <w:rFonts w:ascii="宋体" w:hAnsi="宋体"/>
              </w:rPr>
              <w:t>分）；</w:t>
            </w:r>
          </w:p>
          <w:p>
            <w:pPr>
              <w:widowControl/>
              <w:spacing w:line="300" w:lineRule="exact"/>
            </w:pPr>
            <w:r>
              <w:t>了解并认同企业的愿景（1</w:t>
            </w:r>
            <w:r>
              <w:rPr>
                <w:rFonts w:ascii="宋体" w:hAnsi="宋体"/>
              </w:rPr>
              <w:t>分）；</w:t>
            </w:r>
          </w:p>
          <w:p>
            <w:pPr>
              <w:widowControl/>
              <w:spacing w:line="300" w:lineRule="exact"/>
            </w:pPr>
            <w:r>
              <w:t>业务上能得到有效指导（1</w:t>
            </w:r>
            <w:r>
              <w:rPr>
                <w:rFonts w:ascii="宋体" w:hAnsi="宋体"/>
              </w:rPr>
              <w:t>分）；</w:t>
            </w:r>
          </w:p>
          <w:p>
            <w:pPr>
              <w:widowControl/>
              <w:spacing w:line="300" w:lineRule="exact"/>
            </w:pPr>
            <w:r>
              <w:t>认同企业文化和价值观（2</w:t>
            </w:r>
            <w:r>
              <w:rPr>
                <w:rFonts w:ascii="宋体" w:hAnsi="宋体"/>
              </w:rPr>
              <w:t>分）；</w:t>
            </w:r>
          </w:p>
          <w:p>
            <w:pPr>
              <w:widowControl/>
              <w:spacing w:line="300" w:lineRule="exact"/>
            </w:pPr>
            <w:r>
              <w:t>管理变动中得到有效支持（1</w:t>
            </w:r>
            <w:r>
              <w:rPr>
                <w:rFonts w:ascii="宋体" w:hAnsi="宋体"/>
              </w:rPr>
              <w:t>分）；</w:t>
            </w:r>
          </w:p>
          <w:p>
            <w:pPr>
              <w:widowControl/>
              <w:spacing w:line="300" w:lineRule="exact"/>
            </w:pPr>
            <w:r>
              <w:t>报酬与本人付出相符（1</w:t>
            </w:r>
            <w:r>
              <w:rPr>
                <w:rFonts w:ascii="宋体" w:hAnsi="宋体"/>
              </w:rPr>
              <w:t>分）；</w:t>
            </w:r>
          </w:p>
          <w:p>
            <w:pPr>
              <w:widowControl/>
              <w:spacing w:line="300" w:lineRule="exact"/>
            </w:pPr>
            <w:r>
              <w:t>薪酬制度公平公正（1</w:t>
            </w:r>
            <w:r>
              <w:rPr>
                <w:rFonts w:ascii="宋体" w:hAnsi="宋体"/>
              </w:rPr>
              <w:t>分）；</w:t>
            </w:r>
          </w:p>
          <w:p>
            <w:pPr>
              <w:widowControl/>
              <w:spacing w:line="300" w:lineRule="exact"/>
            </w:pPr>
            <w:r>
              <w:t>工作能发挥本人才能（1</w:t>
            </w:r>
            <w:r>
              <w:rPr>
                <w:rFonts w:ascii="宋体" w:hAnsi="宋体"/>
              </w:rPr>
              <w:t>分）；</w:t>
            </w:r>
          </w:p>
          <w:p>
            <w:pPr>
              <w:widowControl/>
              <w:spacing w:line="300" w:lineRule="exact"/>
            </w:pPr>
            <w:r>
              <w:t>企业能提供职工开展工作所需的各项资源（1</w:t>
            </w:r>
            <w:r>
              <w:rPr>
                <w:rFonts w:ascii="宋体" w:hAnsi="宋体"/>
              </w:rPr>
              <w:t>分）；</w:t>
            </w:r>
          </w:p>
          <w:p>
            <w:pPr>
              <w:widowControl/>
              <w:spacing w:line="300" w:lineRule="exact"/>
            </w:pPr>
            <w:r>
              <w:t>企业晋升制度是否公平公正（1</w:t>
            </w:r>
            <w:r>
              <w:rPr>
                <w:rFonts w:ascii="宋体" w:hAnsi="宋体"/>
              </w:rPr>
              <w:t>分）；</w:t>
            </w:r>
          </w:p>
          <w:p>
            <w:pPr>
              <w:widowControl/>
              <w:spacing w:line="300" w:lineRule="exact"/>
              <w:rPr>
                <w:szCs w:val="21"/>
              </w:rPr>
            </w:pPr>
            <w:r>
              <w:t>对企业的人文关怀是否满意（2</w:t>
            </w:r>
            <w:r>
              <w:rPr>
                <w:rFonts w:ascii="宋体" w:hAnsi="宋体"/>
              </w:rPr>
              <w:t>分）。</w:t>
            </w:r>
          </w:p>
        </w:tc>
        <w:tc>
          <w:tcPr>
            <w:tcW w:w="1230" w:type="dxa"/>
            <w:tcBorders>
              <w:top w:val="single" w:color="000000" w:sz="4" w:space="0"/>
              <w:left w:val="nil"/>
              <w:bottom w:val="single" w:color="000000" w:sz="4" w:space="0"/>
              <w:right w:val="single" w:color="000000" w:sz="4" w:space="0"/>
            </w:tcBorders>
            <w:noWrap w:val="0"/>
            <w:vAlign w:val="center"/>
          </w:tcPr>
          <w:p>
            <w:pPr>
              <w:spacing w:line="300" w:lineRule="exact"/>
              <w:rPr>
                <w:spacing w:val="-10"/>
                <w:szCs w:val="21"/>
              </w:rPr>
            </w:pPr>
          </w:p>
        </w:tc>
        <w:tc>
          <w:tcPr>
            <w:tcW w:w="977" w:type="dxa"/>
            <w:tcBorders>
              <w:top w:val="single" w:color="000000" w:sz="4" w:space="0"/>
              <w:left w:val="nil"/>
              <w:bottom w:val="single" w:color="000000" w:sz="4" w:space="0"/>
              <w:right w:val="single" w:color="000000" w:sz="4" w:space="0"/>
            </w:tcBorders>
            <w:noWrap w:val="0"/>
            <w:vAlign w:val="center"/>
          </w:tcPr>
          <w:p>
            <w:pPr>
              <w:spacing w:line="300" w:lineRule="exact"/>
              <w:rPr>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1178" w:type="dxa"/>
            <w:vMerge w:val="restart"/>
            <w:tcBorders>
              <w:top w:val="nil"/>
              <w:left w:val="single" w:color="000000" w:sz="4" w:space="0"/>
              <w:bottom w:val="single" w:color="000000" w:sz="4" w:space="0"/>
              <w:right w:val="single" w:color="000000" w:sz="4" w:space="0"/>
            </w:tcBorders>
            <w:noWrap w:val="0"/>
            <w:vAlign w:val="center"/>
          </w:tcPr>
          <w:p>
            <w:pPr>
              <w:spacing w:line="300" w:lineRule="exact"/>
              <w:jc w:val="center"/>
              <w:rPr>
                <w:szCs w:val="21"/>
              </w:rPr>
            </w:pPr>
            <w:r>
              <w:t>一票否决事项</w:t>
            </w:r>
          </w:p>
        </w:tc>
        <w:tc>
          <w:tcPr>
            <w:tcW w:w="5857" w:type="dxa"/>
            <w:gridSpan w:val="2"/>
            <w:tcBorders>
              <w:top w:val="single" w:color="000000" w:sz="4" w:space="0"/>
              <w:left w:val="nil"/>
              <w:bottom w:val="single" w:color="000000" w:sz="4" w:space="0"/>
              <w:right w:val="single" w:color="000000" w:sz="4" w:space="0"/>
            </w:tcBorders>
            <w:noWrap w:val="0"/>
            <w:vAlign w:val="center"/>
          </w:tcPr>
          <w:p>
            <w:pPr>
              <w:spacing w:line="300" w:lineRule="exact"/>
              <w:rPr>
                <w:szCs w:val="21"/>
              </w:rPr>
            </w:pPr>
            <w:r>
              <w:t>发生重大责任事故</w:t>
            </w:r>
          </w:p>
        </w:tc>
        <w:tc>
          <w:tcPr>
            <w:tcW w:w="1230" w:type="dxa"/>
            <w:vMerge w:val="restart"/>
            <w:tcBorders>
              <w:top w:val="nil"/>
              <w:left w:val="nil"/>
              <w:bottom w:val="single" w:color="000000" w:sz="4" w:space="0"/>
              <w:right w:val="single" w:color="000000" w:sz="4" w:space="0"/>
            </w:tcBorders>
            <w:noWrap w:val="0"/>
            <w:vAlign w:val="center"/>
          </w:tcPr>
          <w:p>
            <w:pPr>
              <w:spacing w:line="300" w:lineRule="exact"/>
              <w:rPr>
                <w:szCs w:val="21"/>
              </w:rPr>
            </w:pPr>
            <w:r>
              <w:t>*</w:t>
            </w:r>
            <w:r>
              <w:rPr>
                <w:rFonts w:ascii="宋体" w:hAnsi="宋体"/>
              </w:rPr>
              <w:t>评估确认周期内</w:t>
            </w:r>
            <w:r>
              <w:rPr>
                <w:spacing w:val="-6"/>
              </w:rPr>
              <w:t>出现任何一种情形，不进行劳动关系和谐状况评价</w:t>
            </w:r>
          </w:p>
        </w:tc>
        <w:tc>
          <w:tcPr>
            <w:tcW w:w="977" w:type="dxa"/>
            <w:vMerge w:val="restart"/>
            <w:tcBorders>
              <w:top w:val="nil"/>
              <w:left w:val="nil"/>
              <w:bottom w:val="single" w:color="000000" w:sz="4" w:space="0"/>
              <w:right w:val="single" w:color="000000" w:sz="4" w:space="0"/>
            </w:tcBorders>
            <w:noWrap w:val="0"/>
            <w:vAlign w:val="center"/>
          </w:tcPr>
          <w:p>
            <w:pPr>
              <w:spacing w:line="300" w:lineRule="exact"/>
              <w:rPr>
                <w:spacing w:val="-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5857" w:type="dxa"/>
            <w:gridSpan w:val="2"/>
            <w:tcBorders>
              <w:top w:val="single" w:color="000000" w:sz="4" w:space="0"/>
              <w:left w:val="nil"/>
              <w:bottom w:val="single" w:color="000000" w:sz="4" w:space="0"/>
              <w:right w:val="single" w:color="000000" w:sz="4" w:space="0"/>
            </w:tcBorders>
            <w:noWrap w:val="0"/>
            <w:vAlign w:val="center"/>
          </w:tcPr>
          <w:p>
            <w:pPr>
              <w:spacing w:line="300" w:lineRule="exact"/>
              <w:rPr>
                <w:szCs w:val="21"/>
              </w:rPr>
            </w:pPr>
            <w:r>
              <w:t>发生因企业原因引发的群体性、突发性等重大社会影响事件</w:t>
            </w:r>
          </w:p>
        </w:tc>
        <w:tc>
          <w:tcPr>
            <w:tcW w:w="1230" w:type="dxa"/>
            <w:vMerge w:val="continue"/>
            <w:tcBorders>
              <w:top w:val="nil"/>
              <w:left w:val="nil"/>
              <w:bottom w:val="single" w:color="000000" w:sz="4" w:space="0"/>
              <w:right w:val="single" w:color="000000" w:sz="4" w:space="0"/>
            </w:tcBorders>
            <w:noWrap w:val="0"/>
            <w:vAlign w:val="center"/>
          </w:tcPr>
          <w:p>
            <w:pPr>
              <w:widowControl/>
              <w:jc w:val="left"/>
              <w:rPr>
                <w:szCs w:val="21"/>
              </w:rPr>
            </w:pPr>
          </w:p>
        </w:tc>
        <w:tc>
          <w:tcPr>
            <w:tcW w:w="977" w:type="dxa"/>
            <w:vMerge w:val="continue"/>
            <w:tcBorders>
              <w:top w:val="nil"/>
              <w:left w:val="nil"/>
              <w:bottom w:val="single" w:color="000000" w:sz="4" w:space="0"/>
              <w:right w:val="single" w:color="000000" w:sz="4" w:space="0"/>
            </w:tcBorders>
            <w:noWrap w:val="0"/>
            <w:vAlign w:val="center"/>
          </w:tcPr>
          <w:p>
            <w:pPr>
              <w:widowControl/>
              <w:jc w:val="left"/>
              <w:rPr>
                <w:spacing w:val="-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5"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5857" w:type="dxa"/>
            <w:gridSpan w:val="2"/>
            <w:tcBorders>
              <w:top w:val="single" w:color="000000" w:sz="4" w:space="0"/>
              <w:left w:val="nil"/>
              <w:bottom w:val="single" w:color="000000" w:sz="4" w:space="0"/>
              <w:right w:val="single" w:color="000000" w:sz="4" w:space="0"/>
            </w:tcBorders>
            <w:noWrap w:val="0"/>
            <w:vAlign w:val="center"/>
          </w:tcPr>
          <w:p>
            <w:pPr>
              <w:spacing w:line="300" w:lineRule="exact"/>
              <w:rPr>
                <w:szCs w:val="21"/>
              </w:rPr>
            </w:pPr>
            <w:r>
              <w:t>非法使用童工</w:t>
            </w:r>
          </w:p>
        </w:tc>
        <w:tc>
          <w:tcPr>
            <w:tcW w:w="1230" w:type="dxa"/>
            <w:vMerge w:val="continue"/>
            <w:tcBorders>
              <w:top w:val="nil"/>
              <w:left w:val="nil"/>
              <w:bottom w:val="single" w:color="000000" w:sz="4" w:space="0"/>
              <w:right w:val="single" w:color="000000" w:sz="4" w:space="0"/>
            </w:tcBorders>
            <w:noWrap w:val="0"/>
            <w:vAlign w:val="center"/>
          </w:tcPr>
          <w:p>
            <w:pPr>
              <w:widowControl/>
              <w:jc w:val="left"/>
              <w:rPr>
                <w:szCs w:val="21"/>
              </w:rPr>
            </w:pPr>
          </w:p>
        </w:tc>
        <w:tc>
          <w:tcPr>
            <w:tcW w:w="977" w:type="dxa"/>
            <w:vMerge w:val="continue"/>
            <w:tcBorders>
              <w:top w:val="nil"/>
              <w:left w:val="nil"/>
              <w:bottom w:val="single" w:color="000000" w:sz="4" w:space="0"/>
              <w:right w:val="single" w:color="000000" w:sz="4" w:space="0"/>
            </w:tcBorders>
            <w:noWrap w:val="0"/>
            <w:vAlign w:val="center"/>
          </w:tcPr>
          <w:p>
            <w:pPr>
              <w:widowControl/>
              <w:jc w:val="left"/>
              <w:rPr>
                <w:spacing w:val="-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5857" w:type="dxa"/>
            <w:gridSpan w:val="2"/>
            <w:tcBorders>
              <w:top w:val="single" w:color="000000" w:sz="4" w:space="0"/>
              <w:left w:val="nil"/>
              <w:bottom w:val="single" w:color="000000" w:sz="4" w:space="0"/>
              <w:right w:val="single" w:color="000000" w:sz="4" w:space="0"/>
            </w:tcBorders>
            <w:noWrap w:val="0"/>
            <w:vAlign w:val="center"/>
          </w:tcPr>
          <w:p>
            <w:pPr>
              <w:spacing w:line="300" w:lineRule="exact"/>
              <w:rPr>
                <w:szCs w:val="21"/>
              </w:rPr>
            </w:pPr>
            <w:r>
              <w:t>企业拒不支付劳动报酬构成犯罪的</w:t>
            </w:r>
          </w:p>
        </w:tc>
        <w:tc>
          <w:tcPr>
            <w:tcW w:w="1230" w:type="dxa"/>
            <w:vMerge w:val="continue"/>
            <w:tcBorders>
              <w:top w:val="nil"/>
              <w:left w:val="nil"/>
              <w:bottom w:val="single" w:color="000000" w:sz="4" w:space="0"/>
              <w:right w:val="single" w:color="000000" w:sz="4" w:space="0"/>
            </w:tcBorders>
            <w:noWrap w:val="0"/>
            <w:vAlign w:val="center"/>
          </w:tcPr>
          <w:p>
            <w:pPr>
              <w:widowControl/>
              <w:jc w:val="left"/>
              <w:rPr>
                <w:szCs w:val="21"/>
              </w:rPr>
            </w:pPr>
          </w:p>
        </w:tc>
        <w:tc>
          <w:tcPr>
            <w:tcW w:w="977" w:type="dxa"/>
            <w:vMerge w:val="continue"/>
            <w:tcBorders>
              <w:top w:val="nil"/>
              <w:left w:val="nil"/>
              <w:bottom w:val="single" w:color="000000" w:sz="4" w:space="0"/>
              <w:right w:val="single" w:color="000000" w:sz="4" w:space="0"/>
            </w:tcBorders>
            <w:noWrap w:val="0"/>
            <w:vAlign w:val="center"/>
          </w:tcPr>
          <w:p>
            <w:pPr>
              <w:widowControl/>
              <w:jc w:val="left"/>
              <w:rPr>
                <w:spacing w:val="-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5857" w:type="dxa"/>
            <w:gridSpan w:val="2"/>
            <w:tcBorders>
              <w:top w:val="single" w:color="000000" w:sz="4" w:space="0"/>
              <w:left w:val="nil"/>
              <w:bottom w:val="single" w:color="000000" w:sz="4" w:space="0"/>
              <w:right w:val="single" w:color="000000" w:sz="4" w:space="0"/>
            </w:tcBorders>
            <w:noWrap w:val="0"/>
            <w:vAlign w:val="center"/>
          </w:tcPr>
          <w:p>
            <w:pPr>
              <w:spacing w:line="300" w:lineRule="exact"/>
              <w:rPr>
                <w:szCs w:val="21"/>
              </w:rPr>
            </w:pPr>
            <w:r>
              <w:t>企业强迫劳动构成犯罪的</w:t>
            </w:r>
          </w:p>
        </w:tc>
        <w:tc>
          <w:tcPr>
            <w:tcW w:w="1230" w:type="dxa"/>
            <w:vMerge w:val="continue"/>
            <w:tcBorders>
              <w:top w:val="nil"/>
              <w:left w:val="nil"/>
              <w:bottom w:val="single" w:color="000000" w:sz="4" w:space="0"/>
              <w:right w:val="single" w:color="000000" w:sz="4" w:space="0"/>
            </w:tcBorders>
            <w:noWrap w:val="0"/>
            <w:vAlign w:val="center"/>
          </w:tcPr>
          <w:p>
            <w:pPr>
              <w:widowControl/>
              <w:jc w:val="left"/>
              <w:rPr>
                <w:szCs w:val="21"/>
              </w:rPr>
            </w:pPr>
          </w:p>
        </w:tc>
        <w:tc>
          <w:tcPr>
            <w:tcW w:w="977" w:type="dxa"/>
            <w:vMerge w:val="continue"/>
            <w:tcBorders>
              <w:top w:val="nil"/>
              <w:left w:val="nil"/>
              <w:bottom w:val="single" w:color="000000" w:sz="4" w:space="0"/>
              <w:right w:val="single" w:color="000000" w:sz="4" w:space="0"/>
            </w:tcBorders>
            <w:noWrap w:val="0"/>
            <w:vAlign w:val="center"/>
          </w:tcPr>
          <w:p>
            <w:pPr>
              <w:widowControl/>
              <w:jc w:val="left"/>
              <w:rPr>
                <w:spacing w:val="-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5857" w:type="dxa"/>
            <w:gridSpan w:val="2"/>
            <w:tcBorders>
              <w:top w:val="single" w:color="000000" w:sz="4" w:space="0"/>
              <w:left w:val="nil"/>
              <w:bottom w:val="single" w:color="000000" w:sz="4" w:space="0"/>
              <w:right w:val="single" w:color="000000" w:sz="4" w:space="0"/>
            </w:tcBorders>
            <w:noWrap w:val="0"/>
            <w:vAlign w:val="center"/>
          </w:tcPr>
          <w:p>
            <w:pPr>
              <w:spacing w:line="300" w:lineRule="exact"/>
              <w:rPr>
                <w:szCs w:val="21"/>
              </w:rPr>
            </w:pPr>
            <w:r>
              <w:t>未建立工会组织的</w:t>
            </w:r>
          </w:p>
        </w:tc>
        <w:tc>
          <w:tcPr>
            <w:tcW w:w="1230" w:type="dxa"/>
            <w:vMerge w:val="continue"/>
            <w:tcBorders>
              <w:top w:val="nil"/>
              <w:left w:val="nil"/>
              <w:bottom w:val="single" w:color="000000" w:sz="4" w:space="0"/>
              <w:right w:val="single" w:color="000000" w:sz="4" w:space="0"/>
            </w:tcBorders>
            <w:noWrap w:val="0"/>
            <w:vAlign w:val="center"/>
          </w:tcPr>
          <w:p>
            <w:pPr>
              <w:widowControl/>
              <w:jc w:val="left"/>
              <w:rPr>
                <w:szCs w:val="21"/>
              </w:rPr>
            </w:pPr>
          </w:p>
        </w:tc>
        <w:tc>
          <w:tcPr>
            <w:tcW w:w="977" w:type="dxa"/>
            <w:vMerge w:val="continue"/>
            <w:tcBorders>
              <w:top w:val="nil"/>
              <w:left w:val="nil"/>
              <w:bottom w:val="single" w:color="000000" w:sz="4" w:space="0"/>
              <w:right w:val="single" w:color="000000" w:sz="4" w:space="0"/>
            </w:tcBorders>
            <w:noWrap w:val="0"/>
            <w:vAlign w:val="center"/>
          </w:tcPr>
          <w:p>
            <w:pPr>
              <w:widowControl/>
              <w:jc w:val="left"/>
              <w:rPr>
                <w:spacing w:val="-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5857" w:type="dxa"/>
            <w:gridSpan w:val="2"/>
            <w:tcBorders>
              <w:top w:val="single" w:color="000000" w:sz="4" w:space="0"/>
              <w:left w:val="nil"/>
              <w:bottom w:val="single" w:color="000000" w:sz="4" w:space="0"/>
              <w:right w:val="single" w:color="000000" w:sz="4" w:space="0"/>
            </w:tcBorders>
            <w:noWrap w:val="0"/>
            <w:vAlign w:val="center"/>
          </w:tcPr>
          <w:p>
            <w:pPr>
              <w:spacing w:line="300" w:lineRule="exact"/>
              <w:rPr>
                <w:szCs w:val="21"/>
              </w:rPr>
            </w:pPr>
            <w:r>
              <w:t>未建立企业内部劳动争议调解组织</w:t>
            </w:r>
          </w:p>
        </w:tc>
        <w:tc>
          <w:tcPr>
            <w:tcW w:w="1230" w:type="dxa"/>
            <w:vMerge w:val="continue"/>
            <w:tcBorders>
              <w:top w:val="nil"/>
              <w:left w:val="nil"/>
              <w:bottom w:val="single" w:color="000000" w:sz="4" w:space="0"/>
              <w:right w:val="single" w:color="000000" w:sz="4" w:space="0"/>
            </w:tcBorders>
            <w:noWrap w:val="0"/>
            <w:vAlign w:val="center"/>
          </w:tcPr>
          <w:p>
            <w:pPr>
              <w:widowControl/>
              <w:jc w:val="left"/>
              <w:rPr>
                <w:szCs w:val="21"/>
              </w:rPr>
            </w:pPr>
          </w:p>
        </w:tc>
        <w:tc>
          <w:tcPr>
            <w:tcW w:w="977" w:type="dxa"/>
            <w:vMerge w:val="continue"/>
            <w:tcBorders>
              <w:top w:val="nil"/>
              <w:left w:val="nil"/>
              <w:bottom w:val="single" w:color="000000" w:sz="4" w:space="0"/>
              <w:right w:val="single" w:color="000000" w:sz="4" w:space="0"/>
            </w:tcBorders>
            <w:noWrap w:val="0"/>
            <w:vAlign w:val="center"/>
          </w:tcPr>
          <w:p>
            <w:pPr>
              <w:widowControl/>
              <w:jc w:val="left"/>
              <w:rPr>
                <w:spacing w:val="-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178" w:type="dxa"/>
            <w:vMerge w:val="continue"/>
            <w:tcBorders>
              <w:top w:val="nil"/>
              <w:left w:val="single" w:color="000000" w:sz="4" w:space="0"/>
              <w:bottom w:val="single" w:color="000000" w:sz="4" w:space="0"/>
              <w:right w:val="single" w:color="000000" w:sz="4" w:space="0"/>
            </w:tcBorders>
            <w:noWrap w:val="0"/>
            <w:vAlign w:val="center"/>
          </w:tcPr>
          <w:p>
            <w:pPr>
              <w:widowControl/>
              <w:jc w:val="left"/>
              <w:rPr>
                <w:szCs w:val="21"/>
              </w:rPr>
            </w:pPr>
          </w:p>
        </w:tc>
        <w:tc>
          <w:tcPr>
            <w:tcW w:w="5857" w:type="dxa"/>
            <w:gridSpan w:val="2"/>
            <w:tcBorders>
              <w:top w:val="single" w:color="000000" w:sz="4" w:space="0"/>
              <w:left w:val="nil"/>
              <w:bottom w:val="single" w:color="000000" w:sz="4" w:space="0"/>
              <w:right w:val="single" w:color="000000" w:sz="4" w:space="0"/>
            </w:tcBorders>
            <w:noWrap w:val="0"/>
            <w:vAlign w:val="center"/>
          </w:tcPr>
          <w:p>
            <w:pPr>
              <w:spacing w:line="300" w:lineRule="exact"/>
              <w:rPr>
                <w:szCs w:val="21"/>
              </w:rPr>
            </w:pPr>
            <w:r>
              <w:t>发生其他重大违法违规行为的</w:t>
            </w:r>
          </w:p>
        </w:tc>
        <w:tc>
          <w:tcPr>
            <w:tcW w:w="1230" w:type="dxa"/>
            <w:vMerge w:val="continue"/>
            <w:tcBorders>
              <w:top w:val="nil"/>
              <w:left w:val="nil"/>
              <w:bottom w:val="single" w:color="000000" w:sz="4" w:space="0"/>
              <w:right w:val="single" w:color="000000" w:sz="4" w:space="0"/>
            </w:tcBorders>
            <w:noWrap w:val="0"/>
            <w:vAlign w:val="center"/>
          </w:tcPr>
          <w:p>
            <w:pPr>
              <w:widowControl/>
              <w:jc w:val="left"/>
              <w:rPr>
                <w:szCs w:val="21"/>
              </w:rPr>
            </w:pPr>
          </w:p>
        </w:tc>
        <w:tc>
          <w:tcPr>
            <w:tcW w:w="977" w:type="dxa"/>
            <w:vMerge w:val="continue"/>
            <w:tcBorders>
              <w:top w:val="nil"/>
              <w:left w:val="nil"/>
              <w:bottom w:val="single" w:color="000000" w:sz="4" w:space="0"/>
              <w:right w:val="single" w:color="000000" w:sz="4" w:space="0"/>
            </w:tcBorders>
            <w:noWrap w:val="0"/>
            <w:vAlign w:val="center"/>
          </w:tcPr>
          <w:p>
            <w:pPr>
              <w:widowControl/>
              <w:jc w:val="left"/>
              <w:rPr>
                <w:spacing w:val="-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jc w:val="center"/>
        </w:trPr>
        <w:tc>
          <w:tcPr>
            <w:tcW w:w="8265"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b/>
                <w:bCs/>
                <w:sz w:val="28"/>
                <w:szCs w:val="28"/>
              </w:rPr>
            </w:pPr>
            <w:r>
              <w:rPr>
                <w:b/>
                <w:bCs/>
                <w:color w:val="000000"/>
                <w:sz w:val="28"/>
                <w:szCs w:val="28"/>
              </w:rPr>
              <w:t>合计总得分</w:t>
            </w:r>
          </w:p>
        </w:tc>
        <w:tc>
          <w:tcPr>
            <w:tcW w:w="977" w:type="dxa"/>
            <w:tcBorders>
              <w:top w:val="single" w:color="000000" w:sz="4" w:space="0"/>
              <w:left w:val="nil"/>
              <w:bottom w:val="single" w:color="000000" w:sz="4" w:space="0"/>
              <w:right w:val="single" w:color="000000" w:sz="4" w:space="0"/>
            </w:tcBorders>
            <w:noWrap w:val="0"/>
            <w:vAlign w:val="center"/>
          </w:tcPr>
          <w:p>
            <w:pPr>
              <w:spacing w:line="300" w:lineRule="exact"/>
              <w:rPr>
                <w:szCs w:val="21"/>
              </w:rPr>
            </w:pPr>
          </w:p>
        </w:tc>
      </w:tr>
    </w:tbl>
    <w:p>
      <w:pPr>
        <w:rPr>
          <w:szCs w:val="21"/>
        </w:rPr>
      </w:pPr>
      <w:r>
        <w:t xml:space="preserve"> </w:t>
      </w:r>
    </w:p>
    <w:p>
      <w:pPr>
        <w:spacing w:line="560" w:lineRule="exact"/>
        <w:jc w:val="left"/>
        <w:rPr>
          <w:rFonts w:hint="eastAsia"/>
        </w:rPr>
      </w:pPr>
      <w:r>
        <w:rPr>
          <w:rFonts w:eastAsia="黑体"/>
          <w:sz w:val="28"/>
          <w:szCs w:val="28"/>
        </w:rPr>
        <w:t xml:space="preserve">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AA6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List Paragraph"/>
    <w:basedOn w:val="1"/>
    <w:uiPriority w:val="0"/>
    <w:pPr>
      <w:ind w:firstLine="420" w:firstLineChars="20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2023-05-23T05:36:37Z</dcterms:created>
  <dc:creator>804</dc:creator>
  <cp:lastModifiedBy>804</cp:lastModifiedBy>
  <dcterms:modified xsi:type="dcterms:W3CDTF">2023-05-23T05:36:58Z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8325FCB5DACE4FF19BC4C1A1ED1CE5FD</vt:lpwstr>
  </property>
</Properties>
</file>