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Times New Roman" w:hAnsi="Times New Roman" w:eastAsia="方正小标宋简体" w:cs="方正小标宋简体"/>
          <w:b w:val="0"/>
          <w:bCs w:val="0"/>
          <w:i w:val="0"/>
          <w:iCs w:val="0"/>
          <w:caps w:val="0"/>
          <w:color w:val="000000"/>
          <w:spacing w:val="0"/>
          <w:sz w:val="44"/>
          <w:szCs w:val="44"/>
          <w:shd w:val="clear" w:fill="FFFFFF"/>
          <w:lang w:val="en-US" w:eastAsia="zh-CN"/>
        </w:rPr>
      </w:pPr>
      <w:r>
        <w:rPr>
          <w:rFonts w:hint="eastAsia" w:ascii="Times New Roman" w:hAnsi="Times New Roman" w:eastAsia="方正小标宋简体" w:cs="方正小标宋简体"/>
          <w:b w:val="0"/>
          <w:bCs w:val="0"/>
          <w:i w:val="0"/>
          <w:iCs w:val="0"/>
          <w:caps w:val="0"/>
          <w:color w:val="000000"/>
          <w:spacing w:val="0"/>
          <w:sz w:val="44"/>
          <w:szCs w:val="44"/>
          <w:shd w:val="clear" w:fill="FFFFFF"/>
        </w:rPr>
        <w:t>中华人民共和国</w:t>
      </w:r>
      <w:r>
        <w:rPr>
          <w:rFonts w:hint="eastAsia" w:ascii="Times New Roman" w:hAnsi="Times New Roman" w:eastAsia="方正小标宋简体" w:cs="方正小标宋简体"/>
          <w:b w:val="0"/>
          <w:bCs w:val="0"/>
          <w:i w:val="0"/>
          <w:iCs w:val="0"/>
          <w:caps w:val="0"/>
          <w:color w:val="000000"/>
          <w:spacing w:val="0"/>
          <w:sz w:val="44"/>
          <w:szCs w:val="44"/>
          <w:shd w:val="clear" w:fill="FFFFFF"/>
          <w:lang w:val="en-US" w:eastAsia="zh-CN"/>
        </w:rPr>
        <w:t>关税法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小标宋简体" w:cs="方正小标宋简体"/>
          <w:b w:val="0"/>
          <w:bCs w:val="0"/>
          <w:i w:val="0"/>
          <w:iCs w:val="0"/>
          <w:caps w:val="0"/>
          <w:color w:val="000000"/>
          <w:spacing w:val="0"/>
          <w:sz w:val="32"/>
          <w:szCs w:val="3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r>
        <w:rPr>
          <w:rFonts w:ascii="Times New Roman" w:hAnsi="Times New Roman" w:eastAsia="仿宋_GB2312" w:cs="Arial"/>
          <w:b w:val="0"/>
          <w:bCs w:val="0"/>
          <w:i w:val="0"/>
          <w:iCs w:val="0"/>
          <w:caps w:val="0"/>
          <w:color w:val="222222"/>
          <w:spacing w:val="0"/>
          <w:sz w:val="32"/>
          <w:szCs w:val="32"/>
          <w:shd w:val="clear" w:fill="FFFFFF"/>
        </w:rPr>
        <w:t>（</w:t>
      </w:r>
      <w:r>
        <w:rPr>
          <w:rFonts w:hint="eastAsia" w:ascii="Times New Roman" w:hAnsi="Times New Roman" w:eastAsia="仿宋_GB2312" w:cs="Arial"/>
          <w:b w:val="0"/>
          <w:bCs w:val="0"/>
          <w:i w:val="0"/>
          <w:iCs w:val="0"/>
          <w:caps w:val="0"/>
          <w:color w:val="222222"/>
          <w:spacing w:val="0"/>
          <w:sz w:val="32"/>
          <w:szCs w:val="32"/>
          <w:shd w:val="clear" w:fill="FFFFFF"/>
        </w:rPr>
        <w:t>2024年4月26日第十四届全国人民代表大会常务委员会第九次会议通过</w:t>
      </w:r>
      <w:r>
        <w:rPr>
          <w:rFonts w:ascii="Times New Roman" w:hAnsi="Times New Roman" w:eastAsia="仿宋_GB2312" w:cs="Arial"/>
          <w:b w:val="0"/>
          <w:bCs w:val="0"/>
          <w:i w:val="0"/>
          <w:iCs w:val="0"/>
          <w:caps w:val="0"/>
          <w:color w:val="222222"/>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第二章 税目和税率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第三章 应纳税额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第四章 税收优惠和特殊情形关税征收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第五章 征收管理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lang w:eastAsia="zh-CN"/>
        </w:rPr>
      </w:pPr>
      <w:r>
        <w:rPr>
          <w:rFonts w:hint="eastAsia" w:ascii="Times New Roman" w:hAnsi="Times New Roman" w:eastAsia="仿宋_GB2312" w:cs="仿宋_GB2312"/>
          <w:b w:val="0"/>
          <w:bCs w:val="0"/>
          <w:i w:val="0"/>
          <w:iCs w:val="0"/>
          <w:caps w:val="0"/>
          <w:color w:val="000000"/>
          <w:spacing w:val="0"/>
          <w:sz w:val="32"/>
          <w:szCs w:val="32"/>
          <w:shd w:val="clear" w:fill="FFFFFF"/>
        </w:rPr>
        <w:t xml:space="preserve">第七章 </w:t>
      </w:r>
      <w:r>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t>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第一条　为了规范关税的征收和缴纳，维护进出口秩序，促进对外贸易，推进高水平对外开放，推动高质量发展，维护国家主权和利益，保护纳税人合法权益，根据宪法，制定本法。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第二条　中华人民共和国准许进出口的货物、进境物品，由海关依照本法和有关法律、行政法规的规定征收关税。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第三条　进口货物的收货人、出口货物的发货人、进境物品的携带人或者收件人，是关税的纳税人。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从事跨境电子商务零售进口的电子商务平台经营者、物流企业和报关企业，以及法律、行政法规规定负有代扣代缴、代收代缴关税税款义务的单位和个人，是关税的扣缴义务人。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第四条　进出口货物的关税税目、税率以及税目、税率的适用规则等，依照本法所附《中华人民共和国进出口税则》（以下简称《税则》）执行。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第五条　个人合理自用的进境物品，按照简易征收办法征收关税。超过个人合理自用数量的进境物品，按照进口货物征收关税。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个人合理自用的进境物品，在规定数额以内的免征关税。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进境物品关税简易征收办法和免征关税数额由国务院规定，报全国人民代表大会常务委员会备案。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第六条　关税工作坚持中国共产党的领导，贯彻落实党和国家路线方针政策、决策部署，为国民经济和社会发展服务。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第七条　国务院设立关税税则委员会，履行下列职责：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（一）审议关税工作重大规划，拟定关税改革发展方案，并组织实施；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（二）审议重大关税政策和对外关税谈判方案；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（三）提出《税则》调整建议；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（四）定期编纂、发布《税则》；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（五）解释《税则》的税目、税率；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（六）决定征收反倾销税、反补贴税、保障措施关税，实施国务院决定的其他关税措施；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（七）法律、行政法规和国务院规定的其他职责。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国务院关税税则委员会的组成和工作规则由国务院规定。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第八条　海关及其工作人员对在履行职责中知悉的纳税人、扣缴义务人的商业秘密、个人隐私、个人信息，应当依法予以保密，不得泄露或者非法向他人提供。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第二章 税目和税率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第九条　关税税目由税则号列和目录条文等组成。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关税税目适用规则包括归类规则等。进出口货物的商品归类，应当按照《税则》规定的目录条文和归类总规则、类注、章注、子目注释、本国子目注释，以及其他归类注释确定，并归入相应的税则号列。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根据实际需要，国务院关税税则委员会可以提出调整关税税目及其适用规则的建议，报国务院批准后发布执行。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第十条　进口关税设置最惠国税率、协定税率、特惠税率、普通税率。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出口关税设置出口税率。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对实行关税配额管理的进出口货物，设置关税配额税率。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对进出口货物在一定期限内可以实行暂定税率。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第十一条　关税税率的适用应当符合相应的原产地规则。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完全在一个国家或者地区获得的货物，以该国家或者地区为原产地；两个以上国家或者地区参与生产的货物，以最后完成实质性改变的国家或者地区为原产地。国务院根据中华人民共和国缔结或者共同参加的国际条约、协定对原产地的确定另有规定的，依照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进口货物原产地的具体确定，依照本法和国务院及其有关部门的规定执行。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第十二条　原产于共同适用最惠国待遇条款的世界贸易组织成员的进口货物，原产于与中华人民共和国缔结或者共同参加含有相互给予最惠国待遇条款的国际条约、协定的国家或者地区的进口货物，以及原产于中华人民共和国境内的进口货物，适用最惠国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原产于与中华人民共和国缔结或者共同参加含有关税优惠条款的国际条约、协定的国家或者地区且符合国际条约、协定有关规定的进口货物，适用协定税率。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原产于中华人民共和国给予特殊关税优惠安排的国家或者地区且符合国家原产地管理规定的进口货物，适用特惠税率。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原产于本条第一款至第三款规定以外的国家或者地区的进口货物，以及原产地不明的进口货物，适用普通税率。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第十三条　适用最惠国税率的进口货物有暂定税率的，适用暂定税率。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适用协定税率的进口货物有暂定税率的，从低适用税率；其最惠国税率低于协定税率且无暂定税率的，适用最惠国税率。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适用特惠税率的进口货物有暂定税率的，从低适用税率。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适用普通税率的进口货物，不适用暂定税率。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适用出口税率的出口货物有暂定税率的，适用暂定税率。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第十四条　实行关税配额管理的进出口货物，关税配额内的适用关税配额税率，有暂定税率的适用暂定税率；关税配额外的，其税率的适用按照本法第十二条、第十三条的规定执行。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第十五条　关税税率的调整，按照下列规定执行：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（一）需要调整中华人民共和国在加入世界贸易组织议定书中承诺的最惠国税率、关税配额税率和出口税率的，由国务院关税税则委员会提出建议，经国务院审核后报全国人民代表大会常务委员会决定。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根据实际情况，在中华人民共和国加入世界贸易组织议定书中承诺的范围内调整最惠国税率、关税配额税率和出口税率，调整特惠税率适用的国别或者地区、货物范围和税率，或者调整普通税率的，由国务院决定，报全国人民代表大会常务委员会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（三）特殊情况下最惠国税率的适用，由国务院决定，报全国人民代表大会常务委员会备案。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协定税率在完成有关国际条约、协定的核准或者批准程序后，由国务院关税税则委员会组织实施。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实行暂定税率的货物范围、税率和期限由国务院关税税则委员会决定。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与关税税目调整相关的税率的技术性转换，由国务院关税税则委员会提出建议，报国务院批准后执行。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关税税率依照前四款规定调整的，由国务院关税税则委员会发布。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第十六条　依法对进口货物征收反倾销税、反补贴税、保障措施关税的，其税率的适用按照有关反倾销、反补贴和保障措施的法律、行政法规的规定执行。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第十七条　任何国家或者地区不履行与中华人民共和国缔结或者共同参加的国际条约、协定中的最惠国待遇条款或者关税优惠条款，国务院关税税则委员会可以提出按照对等原则采取相应措施的建议，报国务院批准后执行。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第十八条　任何国家或者地区违反与中华人民共和国缔结或者共同参加的国际条约、协定，对中华人民共和国在贸易方面采取禁止、限制、加征关税或者其他影响正常贸易的措施的，对原产于该国家或者地区的进口货物可以采取征收报复性关税等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征收报复性关税的货物范围、适用国别或者地区、税率、期限和征收办法，由国务院关税税则委员会提出建议，报国务院批准后执行。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第十九条　涉及本法第十六条、第十七条、第十八条规定措施的进口货物，纳税人未提供证明材料，或者提供了证明材料但经海关审核仍无法排除该货物原产于被采取规定措施的国家或者地区的，对该货物适用下列两项税率中较高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（一）因采取规定措施对相关货物所实施的最高税率与按照本法第十二条、第十三条、第十四条规定适用的税率相加后的税率；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（二）普通税率。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第二十条　进出口货物、进境物品，应当适用纳税人、扣缴义务人完成申报之日实施的税率。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进口货物到达前，经海关核准先行申报的，应当适用装载该货物的运输工具申报进境之日实施的税率。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第二十一条　有下列情形之一的，应当适用纳税人、扣缴义务人办理纳税手续之日实施的税率：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（一）保税货物不复运出境，转为内销；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（二）减免税货物经批准转让、移作他用或者进行其他处置；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（三）暂时进境货物不复运出境或者暂时出境货物不复运进境；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（四）租赁进口货物留购或者分期缴纳税款。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第二十二条　补征或者退还关税税款，应当按照本法第二十条或者第二十一条的规定确定适用的税率。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因纳税人、扣缴义务人违反规定需要追征税款的，应当适用违反规定行为发生之日实施的税率；行为发生之日不能确定的，适用海关发现该行为之日实施的税率。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第三章 应纳税额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第二十三条　关税实行从价计征、从量计征、复合计征的方式征收。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实行从价计征的，应纳税额按照计税价格乘以比例税率计算。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实行从量计征的，应纳税额按照货物数量乘以定额税率计算。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实行复合计征的，应纳税额按照计税价格乘以比例税率与货物数量乘以定额税率之和计算。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第二十四条　进口货物的计税价格以成交价格以及该货物运抵中华人民共和国境内输入地点起卸前的运输及其相关费用、保险费为基础确定。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进口货物的成交价格，是指卖方向中华人民共和国境内销售该货物时买方为进口该货物向卖方实付、应付的，并按照本法第二十五条、第二十六条规定调整后的价款总额，包括直接支付的价款和间接支付的价款。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进口货物的成交价格应当符合下列条件：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（一）对买方处置或者使用该货物不予限制，但法律、行政法规规定的限制、对货物转售地域的限制和对货物价格无实质性影响的限制除外；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（二）该货物的成交价格没有因搭售或者其他因素的影响而无法确定；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（三）卖方不得从买方直接或者间接获得因该货物进口后转售、处置或者使用而产生的任何收益，或者虽有收益但能够按照本法第二十五条、第二十六条的规定进行调整；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（四）买卖双方没有特殊关系，或者虽有特殊关系但未对成交价格产生影响。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第二十五条　进口货物的下列费用应当计入计税价格：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（一）由买方负担的购货佣金以外的佣金和经纪费；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（二）由买方负担的与该货物视为一体的容器的费用；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（三）由买方负担的包装材料费用和包装劳务费用；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与该货物的生产和向中华人民共和国境内销售有关的，由买方以免费或者以低于成本的方式提供并可以按适当比例分摊的料件、工具、模具、消耗材料及类似货物的价款，以及在中华人民共和国境外开发、设计等相关服务的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（五）作为该货物向中华人民共和国境内销售的条件，买方必须支付的、与该货物有关的特许权使用费；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（六）卖方直接或者间接从买方获得的该货物进口后转售、处置或者使用的收益。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第二十六条　进口时在货物的价款中列明的下列费用、税收，不计入该货物的计税价格：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（一）厂房、机械、设备等货物进口后进行建设、安装、装配、维修和技术服务的费用，但保修费用除外；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（二）进口货物运抵中华人民共和国境内输入地点起卸后的运输及其相关费用、保险费；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（三）进口关税及国内税收。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第二十七条　进口货物的成交价格不符合本法第二十四条第三款规定条件，或者成交价格不能确定的，海关经了解有关情况，并与纳税人进行价格磋商后，依次以下列价格估定该货物的计税价格：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（一）与该货物同时或者大约同时向中华人民共和国境内销售的相同货物的成交价格；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（二）与该货物同时或者大约同时向中华人民共和国境内销售的类似货物的成交价格；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（三）与该货物进口的同时或者大约同时，将该进口货物、相同或者类似进口货物在中华人民共和国境内第一级销售环节销售给无特殊关系买方最大销售总量的单位价格，但应当扣除本法第二十八条规定的项目；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按照下列各项总和计算的价格：生产该货物所使用的料件成本和加工费用，向中华人民共和国境内销售同等级或者同种类货物通常的利润和一般费用，该货物运抵中华人民共和国境内输入地点起卸前的运输及其相关费用、保险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（五）以合理方法估定的价格。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纳税人可以向海关提供有关资料，申请调整前款第三项和第四项的适用次序。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第二十八条　按照本法第二十七条第一款第三项规定估定计税价格，应当扣除下列项目：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（一）同等级或者同种类货物在中华人民共和国境内第一级销售环节销售时通常的利润和一般费用以及通常支付的佣金；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（二）进口货物运抵中华人民共和国境内输入地点起卸后的运输及其相关费用、保险费；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（三）进口关税及国内税收。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第二十九条　出口货物的计税价格以该货物的成交价格以及该货物运至中华人民共和国境内输出地点装载前的运输及其相关费用、保险费为基础确定。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出口货物的成交价格，是指该货物出口时卖方为出口该货物应当向买方直接收取和间接收取的价款总额。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出口关税不计入计税价格。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第三十条　出口货物的成交价格不能确定的，海关经了解有关情况，并与纳税人进行价格磋商后，依次以下列价格估定该货物的计税价格：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（一）与该货物同时或者大约同时向同一国家或者地区出口的相同货物的成交价格；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（二）与该货物同时或者大约同时向同一国家或者地区出口的类似货物的成交价格；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（三）按照下列各项总和计算的价格：中华人民共和国境内生产相同或者类似货物的料件成本、加工费用，通常的利润和一般费用，境内发生的运输及其相关费用、保险费；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（四）以合理方法估定的价格。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第三十一条　海关可以依申请或者依职权，对进出口货物、进境物品的计税价格、商品归类和原产地依法进行确定。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必要时，海关可以组织化验、检验，并将海关认定的化验、检验结果作为确定计税价格、商品归类和原产地的依据。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第四章 税收优惠和特殊情形关税征收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第三十二条　下列进出口货物、进境物品，免征关税：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（一）国务院规定的免征额度内的一票货物；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（二）无商业价值的广告品和货样；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（三）进出境运输工具装载的途中必需的燃料、物料和饮食用品；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（四）在海关放行前损毁或者灭失的货物、进境物品；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（五）外国政府、国际组织无偿赠送的物资；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（六）中华人民共和国缔结或者共同参加的国际条约、协定规定免征关税的货物、进境物品；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（七）依照有关法律规定免征关税的其他货物、进境物品。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第三十三条　下列进出口货物、进境物品，减征关税：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（一）在海关放行前遭受损坏的货物、进境物品；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（二）中华人民共和国缔结或者共同参加的国际条约、协定规定减征关税的货物、进境物品；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（三）依照有关法律规定减征关税的其他货物、进境物品。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前款第一项减征关税，应当根据海关认定的受损程度办理。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第三十四条　根据维护国家利益、促进对外交往、经济社会发展、科技创新需要或者由于突发事件等原因，国务院可以制定关税专项优惠政策，报全国人民代表大会常务委员会备案。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第三十五条　减免税货物应当依法办理手续。需由海关监管使用的减免税货物应当接受海关监管，在监管年限内转让、移作他用或者进行其他处置，按照国家有关规定需要补税的，应当补缴关税。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对需由海关监管使用的减免税进境物品，参照前款规定执行。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第三十六条　保税货物复运出境的，免征关税；不复运出境转为内销的，按照规定征收关税。加工贸易保税进口料件或者其制成品内销的，除按照规定征收关税外，还应当征收缓税利息。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第三十七条　暂时进境或者暂时出境的下列货物、物品，可以依法暂不缴纳关税，但该货物、物品应当自进境或者出境之日起六个月内复运出境或者复运进境；需要延长复运出境或者复运进境期限的，应当根据海关总署的规定向海关办理延期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（一）在展览会、交易会、会议以及类似活动中展示或者使用的货物、物品；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（二）文化、体育交流活动中使用的表演、比赛用品；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（三）进行新闻报道或者摄制电影、电视节目使用的仪器、设备及用品；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（四）开展科研、教学、医疗卫生活动使用的仪器、设备及用品；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（五）在本款第一项至第四项所列活动中使用的交通工具及特种车辆；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（六）货样；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（七）供安装、调试、检测设备时使用的仪器、工具；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（八）盛装货物的包装材料；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（九）其他用于非商业目的的货物、物品。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前款所列货物、物品在规定期限内未复运出境或者未复运进境的，应当依法缴纳关税。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第三十八条　本法第三十七条规定以外的其他暂时进境的货物、物品，应当根据该货物、物品的计税价格和其在境内滞留时间与折旧时间的比例计算缴纳进口关税；该货物、物品在规定期限届满后未复运出境的，应当补足依法应缴纳的关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本法第三十七条规定以外的其他暂时出境货物，在规定期限届满后未复运进境的，应当依法缴纳关税。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第三十九条　因品质、规格原因或者不可抗力，出口货物自出口之日起一年内原状复运进境的，不征收进口关税。因品质、规格原因或者不可抗力，进口货物自进口之日起一年内原状复运出境的，不征收出口关税。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特殊情形下，经海关批准，可以适当延长前款规定的期限，具体办法由海关总署规定。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第四十条　因残损、短少、品质不良或者规格不符原因，进出口货物的发货人、承运人或者保险公司免费补偿或者更换的相同货物，进出口时不征收关税。被免费更换的原进口货物不退运出境或者原出口货物不退运进境的，海关应当对原进出口货物重新按照规定征收关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纳税人应当在原进出口合同约定的请求赔偿期限内且不超过原进出口放行之日起三年内，向海关申报办理免费补偿或者更换货物的进出口手续。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第五章 征收管理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第四十一条　关税征收管理可以实施货物放行与税额确定相分离的模式。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关税征收管理应当适应对外贸易新业态新模式发展需要，提升信息化、智能化、标准化、便利化水平。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第四十二条　进出口货物的纳税人、扣缴义务人可以按照规定选择海关办理申报纳税。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纳税人、扣缴义务人应当按照规定的期限和要求如实向海关申报税额，并提供相关资料。必要时，海关可以要求纳税人、扣缴义务人补充申报。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第四十三条　进出口货物的纳税人、扣缴义务人应当自完成申报之日起十五日内缴纳税款；符合海关规定条件并提供担保的，可以于次月第五个工作日结束前汇总缴纳税款。因不可抗力或者国家税收政策调整，不能按期缴纳的，经向海关申请并提供担保，可以延期缴纳，但最长不得超过六个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纳税人、扣缴义务人未在前款规定的纳税期限内缴纳税款的，自规定的期限届满之日起，按日加收滞纳税款万分之五的滞纳金。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税款尚未缴纳，纳税人、扣缴义务人依照有关法律、行政法规的规定申请提供担保要求放行货物的，海关应当依法办理担保手续。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第四十四条　进出口货物的纳税人在规定的纳税期限内有转移、藏匿其应税货物以及其他财产的明显迹象，或者存在其他可能导致无法缴纳税款风险的，海关可以责令其提供担保；纳税人不提供担保的，经直属海关关长或者其授权的隶属海关关长批准，海关可以实施下列强制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（一）书面通知银行业金融机构冻结纳税人金额相当于应纳税款的存款、汇款；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（二）查封、扣押纳税人价值相当于应纳税款的货物或者其他财产。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纳税人在规定的纳税期限内缴纳税款的，海关应当立即解除强制措施。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第四十五条　自纳税人、扣缴义务人缴纳税款或者货物放行之日起三年内，海关有权对纳税人、扣缴义务人的应纳税额进行确认。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海关确认的应纳税额与纳税人、扣缴义务人申报的税额不一致的，海关应当向纳税人、扣缴义务人出具税额确认书。纳税人、扣缴义务人应当按照税额确认书载明的应纳税额，在海关规定的期限内补缴税款或者办理退税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经海关确认应纳税额后需要补缴税款但未在规定的期限内补缴的，自规定的期限届满之日起，按日加收滞纳税款万分之五的滞纳金。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第四十六条　因纳税人、扣缴义务人违反规定造成少征或者漏征税款的，海关可以自缴纳税款或者货物放行之日起三年内追征税款，并自缴纳税款或者货物放行之日起，按日加收少征或者漏征税款万分之五的滞纳金。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第四十七条　对走私行为，海关追征税款、滞纳金的，不受前条规定期限的限制，并有权核定应纳税额。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第四十八条　海关发现海关监管货物因纳税人、扣缴义务人违反规定造成少征或者漏征税款的，应当自纳税人、扣缴义务人应缴纳税款之日起三年内追征税款，并自应缴纳税款之日起按日加收少征或者漏征税款万分之五的滞纳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第四十九条　海关可以对纳税人、扣缴义务人欠缴税款的情况予以公告。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纳税人未缴清税款、滞纳金且未向海关提供担保的，经直属海关关长或者其授权的隶属海关关长批准，海关可以按照规定通知移民管理机构对纳税人或者其法定代表人依法采取限制出境措施。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第五十条　纳税人、扣缴义务人未按照规定的期限缴纳或者解缴税款的，由海关责令其限期缴纳；逾期仍未缴纳且无正当理由的，经直属海关关长或者其授权的隶属海关关长批准，海关可以实施下列强制执行措施：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（一）书面通知银行业金融机构划拨纳税人、扣缴义务人金额相当于应纳税款的存款、汇款；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（二）查封、扣押纳税人、扣缴义务人价值相当于应纳税款的货物或者其他财产，依法拍卖或者变卖所查封、扣押的货物或者其他财产，以拍卖或者变卖所得抵缴税款，剩余部分退还纳税人、扣缴义务人。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海关实施强制执行时，对未缴纳的滞纳金同时强制执行。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第五十一条　海关发现多征税款的，应当及时通知纳税人办理退还手续。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纳税人发现多缴税款的，可以自缴纳税款之日起三年内，向海关书面申请退还多缴的税款。海关应当自受理申请之日起三十日内查实并通知纳税人办理退还手续，纳税人应当自收到通知之日起三个月内办理退还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第五十二条　有下列情形之一的，纳税人自缴纳税款之日起一年内，可以向海关申请退还关税：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（一）已征进口关税的货物，因品质、规格原因或者不可抗力，一年内原状复运出境；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（二）已征出口关税的货物，因品质、规格原因或者不可抗力，一年内原状复运进境，并已重新缴纳因出口而退还的国内环节有关税收；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（三）已征出口关税的货物，因故未装运出口，申报退关。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申请退还关税应当以书面形式提出，并提供原缴款凭证及相关资料。海关应当自受理申请之日起三十日内查实并通知纳税人办理退还手续。纳税人应当自收到通知之日起三个月内办理退还手续。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按照其他有关法律、行政法规规定应当退还关税的，海关应当依法予以退还。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第五十三条　按照规定退还关税的，应当加算银行同期活期存款利息。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第五十四条　对规避本法第二章、第三章有关规定，不具有合理商业目的而减少应纳税额的行为，国家可以采取调整关税等反规避措施。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第五十五条　报关企业接受纳税人的委托，以纳税人的名义办理报关纳税手续，因报关企业违反规定造成海关少征、漏征税款的，报关企业对少征或者漏征的税款及其滞纳金与纳税人承担纳税的连带责任。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报关企业接受纳税人的委托，以报关企业的名义办理报关纳税手续的，报关企业与纳税人承担纳税的连带责任。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第五十六条　除不可抗力外，在保管海关监管货物期间，海关监管货物损毁或者灭失的，对海关监管货物负有保管义务的单位或者个人应当承担相应的纳税责任。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第五十七条　未履行纳税义务的纳税人有合并、分立情形的，在合并、分立前，应当向海关报告，依法缴清税款、滞纳金或者提供担保。纳税人合并时未缴清税款、滞纳金或者未提供担保的，由合并后的法人或者非法人组织继续履行未履行的纳税义务；纳税人分立时未缴清税款、滞纳金或者未提供担保的，分立后的法人或者非法人组织对未履行的纳税义务承担连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纳税人在减免税货物、保税货物监管期间，有合并、分立或者其他资产重组情形的，应当向海关报告；按照规定需要缴税的，应当依法缴清税款、滞纳金或者提供担保；按照规定可以继续享受减免税、保税的，应当向海关办理变更纳税人的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纳税人未履行纳税义务或者在减免税货物、保税货物监管期间，有解散、破产或者其他依法终止经营情形的，应当在清算前向海关报告。海关应当依法清缴税款、滞纳金。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第五十八条　海关征收的税款优先于无担保债权，法律另有规定的除外。纳税人欠缴税款发生在纳税人以其财产设定抵押、质押之前的，税款应当先于抵押权、质权执行。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纳税人欠缴税款，同时被行政机关处以罚款、没收违法所得，其财产不足以同时支付的，应当先缴纳税款。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第五十九条　税款、滞纳金应当按照国家有关规定及时缴入国库。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退还税款、利息涉及从国库中退库的，按照法律、行政法规有关国库管理的规定执行。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第六十条　税款、滞纳金、利息等应当以人民币计算。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进出口货物、进境物品的价格以及有关费用以人民币以外的货币计算的，按照纳税人完成申报之日的计征汇率折合为人民币计算。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前款所称计征汇率，是指按照海关总署规定确定的日期当日的人民币汇率中间价。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第六十一条　海关因关税征收的需要，可以依法向有关政府部门和机构查询纳税人的身份、账户、资金往来等涉及关税的信息，有关政府部门和机构应当在职责范围内予以协助和配合。海关获取的涉及关税的信息只能用于关税征收目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第六章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第六十二条　有下列情形之一的，由海关给予警告；情节严重的，处三万元以下的罚款：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（一）未履行纳税义务的纳税人有合并、分立情形，在合并、分立前，未向海关报告；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（二）纳税人在减免税货物、保税货物监管期间，有合并、分立或者其他资产重组情形，未向海关报告；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（三）纳税人未履行纳税义务或者在减免税货物、保税货物监管期间，有解散、破产或者其他依法终止经营情形，未在清算前向海关报告。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第六十三条　纳税人欠缴应纳税款，采取转移或者藏匿财产等手段，妨碍海关依法追征欠缴的税款的，除由海关追征欠缴的税款、滞纳金外，处欠缴税款百分之五十以上五倍以下的罚款。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第六十四条　扣缴义务人应扣未扣、应收未收税款的，由海关向纳税人追征税款，对扣缴义务人处应扣未扣、应收未收税款百分之五十以上三倍以下的罚款。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第六十五条　对本法第六十二条、第六十三条、第六十四条规定以外其他违反本法规定的行为，由海关依照《中华人民共和国海关法》等法律、行政法规的规定处罚。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第六十六条　纳税人、扣缴义务人、担保人对海关确定纳税人、商品归类、货物原产地、纳税地点、计征方式、计税价格、适用税率或者汇率，决定减征或者免征税款，确认应纳税额、补缴税款、退还税款以及加收滞纳金等征税事项有异议的，应当依法先向上一级海关申请行政复议；对行政复议决定不服的，可以依法向人民法院提起行政诉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当事人对海关作出的前款规定以外的行政行为不服的，可以依法申请行政复议，也可以依法向人民法院提起行政诉讼。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第六十七条　违反本法规定，滥用职权、玩忽职守、徇私舞弊或者泄露、非法向他人提供在履行职责中知悉的商业秘密、个人隐私、个人信息的，依法给予处分。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第六十八条　违反本法规定，构成犯罪的，依法追究刑事责任。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第七章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第六十九条　《中华人民共和国海南自由贸易港法》对海南自由贸易港的关税事宜另有规定的，依照其规定。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第七十条　进口环节海关代征税的征收管理，适用关税征收管理的规定。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船舶吨税的征收，《中华人民共和国船舶吨税法》未作规定的，适用关税征收管理的规定。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第七十一条　从事免税商品零售业务应当经过批准，具体办法由国务院规定。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第七十二条　本法自2024年12月1日起施行。《中华人民共和国进出口关税条例》同时废止。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附：中华人民共和国进出口税则（注：《中华人民共和国进出口税则》由国务院关税税则委员会发布）</w:t>
      </w:r>
      <w:bookmarkStart w:id="0" w:name="_GoBack"/>
      <w:bookmarkEnd w:id="0"/>
    </w:p>
    <w:sectPr>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93FE0"/>
    <w:rsid w:val="04817E3D"/>
    <w:rsid w:val="08C9024F"/>
    <w:rsid w:val="0A6E2D79"/>
    <w:rsid w:val="10CF5707"/>
    <w:rsid w:val="13443350"/>
    <w:rsid w:val="13EC1C73"/>
    <w:rsid w:val="18874D0B"/>
    <w:rsid w:val="18C52DB4"/>
    <w:rsid w:val="19A57272"/>
    <w:rsid w:val="1B784174"/>
    <w:rsid w:val="2334292C"/>
    <w:rsid w:val="26380258"/>
    <w:rsid w:val="293964CA"/>
    <w:rsid w:val="313828B4"/>
    <w:rsid w:val="33342E91"/>
    <w:rsid w:val="346F45A4"/>
    <w:rsid w:val="34C954E4"/>
    <w:rsid w:val="38C563CD"/>
    <w:rsid w:val="41BA3644"/>
    <w:rsid w:val="435B2FB9"/>
    <w:rsid w:val="44350C96"/>
    <w:rsid w:val="4908781F"/>
    <w:rsid w:val="492A509E"/>
    <w:rsid w:val="4E176E79"/>
    <w:rsid w:val="4E41251D"/>
    <w:rsid w:val="531842C2"/>
    <w:rsid w:val="56AA4C81"/>
    <w:rsid w:val="59656464"/>
    <w:rsid w:val="596C2FA6"/>
    <w:rsid w:val="5E26403D"/>
    <w:rsid w:val="63360905"/>
    <w:rsid w:val="63DC7348"/>
    <w:rsid w:val="65493FE0"/>
    <w:rsid w:val="6C571EF8"/>
    <w:rsid w:val="6DF11055"/>
    <w:rsid w:val="712A72E8"/>
    <w:rsid w:val="71607862"/>
    <w:rsid w:val="735F1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2023-09-20T01:44:00Z</dcterms:created>
  <dc:creator>admin</dc:creator>
  <cp:lastModifiedBy>admin</cp:lastModifiedBy>
  <dcterms:modified xsi:type="dcterms:W3CDTF">2024-06-27T07:59:04Z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B785AE37BC794CD38676BD0782D5C45B</vt:lpwstr>
  </property>
</Properties>
</file>