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63683C">
      <w:pPr>
        <w:spacing w:line="560" w:lineRule="exact"/>
        <w:ind w:firstLine="1044"/>
        <w:jc w:val="center"/>
        <w:rPr>
          <w:rFonts w:ascii="宋体" w:hAnsi="宋体" w:eastAsia="宋体" w:cs="Times New Roman"/>
          <w:b/>
          <w:bCs/>
          <w:sz w:val="52"/>
          <w:szCs w:val="52"/>
        </w:rPr>
      </w:pPr>
      <w:r>
        <w:rPr>
          <w:rFonts w:ascii="宋体" w:hAnsi="宋体" w:eastAsia="宋体" w:cs="Times New Roman"/>
          <w:b/>
          <w:bCs/>
          <w:sz w:val="52"/>
          <w:szCs w:val="52"/>
        </w:rPr>
        <w:t>苏州市姑苏区人民政府</w:t>
      </w:r>
    </w:p>
    <w:p w14:paraId="2BA33489">
      <w:pPr>
        <w:spacing w:line="560" w:lineRule="exact"/>
        <w:ind w:firstLine="1044"/>
        <w:jc w:val="center"/>
        <w:rPr>
          <w:rFonts w:ascii="宋体" w:hAnsi="宋体" w:eastAsia="宋体" w:cs="Times New Roman"/>
          <w:b/>
          <w:bCs/>
          <w:sz w:val="52"/>
          <w:szCs w:val="52"/>
        </w:rPr>
      </w:pPr>
      <w:r>
        <w:rPr>
          <w:rFonts w:ascii="宋体" w:hAnsi="宋体" w:eastAsia="宋体" w:cs="Times New Roman"/>
          <w:b/>
          <w:bCs/>
          <w:sz w:val="52"/>
          <w:szCs w:val="52"/>
        </w:rPr>
        <w:t>行政复议决定书</w:t>
      </w:r>
    </w:p>
    <w:p w14:paraId="2C585F44">
      <w:pPr>
        <w:spacing w:line="560" w:lineRule="exact"/>
        <w:jc w:val="right"/>
        <w:rPr>
          <w:rFonts w:ascii="仿宋" w:hAnsi="仿宋" w:eastAsia="仿宋" w:cs="仿宋"/>
          <w:sz w:val="32"/>
          <w:szCs w:val="32"/>
        </w:rPr>
      </w:pPr>
    </w:p>
    <w:p w14:paraId="34EC653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申请人金</w:t>
      </w:r>
      <w:r>
        <w:rPr>
          <w:rFonts w:hint="eastAsia" w:ascii="仿宋" w:hAnsi="仿宋" w:eastAsia="仿宋" w:cs="仿宋"/>
          <w:sz w:val="32"/>
          <w:szCs w:val="32"/>
          <w:lang w:val="en-US" w:eastAsia="zh-CN"/>
        </w:rPr>
        <w:t>某</w:t>
      </w:r>
      <w:r>
        <w:rPr>
          <w:rFonts w:hint="eastAsia" w:ascii="仿宋" w:hAnsi="仿宋" w:eastAsia="仿宋" w:cs="仿宋"/>
          <w:sz w:val="32"/>
          <w:szCs w:val="32"/>
        </w:rPr>
        <w:t>。</w:t>
      </w:r>
    </w:p>
    <w:p w14:paraId="612A6445">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被申请人苏州市姑苏区市场监督管理局。</w:t>
      </w:r>
    </w:p>
    <w:p w14:paraId="209F15B3">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申请人金</w:t>
      </w:r>
      <w:r>
        <w:rPr>
          <w:rFonts w:hint="eastAsia" w:ascii="仿宋" w:hAnsi="仿宋" w:eastAsia="仿宋" w:cs="仿宋"/>
          <w:sz w:val="32"/>
          <w:szCs w:val="32"/>
          <w:lang w:val="en-US" w:eastAsia="zh-CN"/>
        </w:rPr>
        <w:t>某</w:t>
      </w:r>
      <w:r>
        <w:rPr>
          <w:rFonts w:hint="eastAsia" w:ascii="仿宋" w:hAnsi="仿宋" w:eastAsia="仿宋" w:cs="仿宋"/>
          <w:sz w:val="32"/>
          <w:szCs w:val="32"/>
        </w:rPr>
        <w:t>对被申请人苏州市姑苏区市场监督管理局就其投诉举报姑苏区</w:t>
      </w:r>
      <w:r>
        <w:rPr>
          <w:rFonts w:hint="eastAsia" w:ascii="仿宋" w:hAnsi="仿宋" w:eastAsia="仿宋" w:cs="仿宋"/>
          <w:sz w:val="32"/>
          <w:szCs w:val="32"/>
          <w:lang w:val="en-US" w:eastAsia="zh-CN"/>
        </w:rPr>
        <w:t>某</w:t>
      </w:r>
      <w:r>
        <w:rPr>
          <w:rFonts w:hint="eastAsia" w:ascii="仿宋" w:hAnsi="仿宋" w:eastAsia="仿宋" w:cs="仿宋"/>
          <w:sz w:val="32"/>
          <w:szCs w:val="32"/>
        </w:rPr>
        <w:t>珍珠店</w:t>
      </w:r>
      <w:r>
        <w:rPr>
          <w:rFonts w:hint="eastAsia" w:ascii="仿宋" w:hAnsi="仿宋" w:eastAsia="仿宋" w:cs="仿宋"/>
          <w:sz w:val="32"/>
          <w:szCs w:val="32"/>
          <w:lang w:val="en-US" w:eastAsia="zh-CN"/>
        </w:rPr>
        <w:t>作出</w:t>
      </w:r>
      <w:r>
        <w:rPr>
          <w:rFonts w:hint="eastAsia" w:ascii="仿宋" w:hAnsi="仿宋" w:eastAsia="仿宋" w:cs="仿宋"/>
          <w:sz w:val="32"/>
          <w:szCs w:val="32"/>
        </w:rPr>
        <w:t>的处理不服，于2024年9月29日向本机关申请行政复议。经审查，本机关依法予以受理，现已审理终结。</w:t>
      </w:r>
    </w:p>
    <w:p w14:paraId="7933382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申请人请求：撤销被申请人作出的不予立案决定，责令被申请人重新立案查处并组织调解，重新答复申请人。</w:t>
      </w:r>
    </w:p>
    <w:p w14:paraId="6D2673F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请人称：其于2024年9月25日通过“江苏12345”微信小程序平台对被申请人提出关于购买到三无产品珍珠粉的投诉。其投诉中的事实为该商家出售三无产品，诉求为根据消费者权益保护法第55条对申请人做出退一赔三、赔偿金额不足500按500计算。2024年9月29号，申请人收到苏州12345的短信回复，短信内容为：“苏州市12345您于2024年09月25日15点反映的问题，姑苏区12345已回复：经核查，商家同意退货退款，但拒绝赔偿，且明确拒绝调解，根据《市场监督管理投诉举报处理暂行办法》第二十一条规定，终止调解。另针对举报内容，已责令商家改正，根据《市场监督管理行政处罚程序规定》第二十条规定，我局决定不予立案。请您对本次服务处理结果及部门工作人员的服务态度给予评价……”该商品的购买凭证及相关证据申请人已通过邮箱的形式发送给被申请人。其中，购买时的视频反映出被举报人口头宣传了相关功效。案涉珍珠粉不属于食用农产品，根据《中华人民共和国药典》，应当属于药品。申请人认为被申请人做出的行政行为不符合程序规定，应撤销并改正，对违法商家重新立案查处，对申请人进行赔偿。故申请人提起行政复议。</w:t>
      </w:r>
    </w:p>
    <w:p w14:paraId="3A0761D4">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申请人提供的证据：1.支付记录截图；2.案涉商品照片；3.苏州市1</w:t>
      </w:r>
      <w:r>
        <w:rPr>
          <w:rFonts w:ascii="仿宋" w:hAnsi="仿宋" w:eastAsia="仿宋" w:cs="仿宋"/>
          <w:sz w:val="32"/>
          <w:szCs w:val="32"/>
        </w:rPr>
        <w:t>2345</w:t>
      </w:r>
      <w:r>
        <w:rPr>
          <w:rFonts w:hint="eastAsia" w:ascii="仿宋" w:hAnsi="仿宋" w:eastAsia="仿宋" w:cs="仿宋"/>
          <w:sz w:val="32"/>
          <w:szCs w:val="32"/>
        </w:rPr>
        <w:t>平台短信回复截图。</w:t>
      </w:r>
    </w:p>
    <w:p w14:paraId="6FF453C8">
      <w:pPr>
        <w:spacing w:line="560" w:lineRule="exact"/>
        <w:ind w:firstLine="640" w:firstLineChars="200"/>
        <w:rPr>
          <w:rFonts w:ascii="仿宋" w:hAnsi="仿宋" w:eastAsia="仿宋" w:cs="仿宋"/>
          <w:sz w:val="32"/>
          <w:szCs w:val="32"/>
        </w:rPr>
      </w:pPr>
      <w:r>
        <w:rPr>
          <w:rFonts w:ascii="仿宋" w:hAnsi="仿宋" w:eastAsia="仿宋" w:cs="仿宋"/>
          <w:sz w:val="32"/>
          <w:szCs w:val="32"/>
        </w:rPr>
        <w:t>被申请人称：</w:t>
      </w:r>
      <w:r>
        <w:rPr>
          <w:rFonts w:hint="eastAsia" w:ascii="仿宋" w:hAnsi="仿宋" w:eastAsia="仿宋" w:cs="仿宋"/>
          <w:sz w:val="32"/>
          <w:szCs w:val="32"/>
        </w:rPr>
        <w:t>2024年9月25日，其收到申请人在12345平台投诉举报称：“关于购买三无产品退款赔偿的问题。服务对象反映2024年9月22日在苏州市姑苏区</w:t>
      </w:r>
      <w:r>
        <w:rPr>
          <w:rFonts w:hint="eastAsia" w:ascii="仿宋" w:hAnsi="仿宋" w:eastAsia="仿宋" w:cs="仿宋"/>
          <w:sz w:val="32"/>
          <w:szCs w:val="32"/>
          <w:lang w:val="en-US" w:eastAsia="zh-CN"/>
        </w:rPr>
        <w:t>某</w:t>
      </w:r>
      <w:r>
        <w:rPr>
          <w:rFonts w:hint="eastAsia" w:ascii="仿宋" w:hAnsi="仿宋" w:eastAsia="仿宋" w:cs="仿宋"/>
          <w:sz w:val="32"/>
          <w:szCs w:val="32"/>
        </w:rPr>
        <w:t>珍珠店花费25元购买到珍珠粉一包，商家宣传说该产品可以药用，也可以作为化妆品使用，用以达到美容养颜，调节气血的功效。服务对象查询后发现珍珠粉无宣传功效且该产品外包装上无任何使用说明，生产商家，联系电话等，属于严重的三无产品。该产品侵害了服务对象的合法利益。”</w:t>
      </w:r>
    </w:p>
    <w:p w14:paraId="6EDA2CC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市场监督管理投诉举报处理暂行办法》第四条第二款、第十二条第一款、第二十五条之规定。本案中，被申请人作为被投诉举报人住所所在地的县级市场监督管理部门，具有对申请人的投诉举报事项作出行政处理和答复的法定职责。</w:t>
      </w:r>
    </w:p>
    <w:p w14:paraId="2E2D1A5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被申请人于9月26日受理该投诉。经调查，姑苏区</w:t>
      </w:r>
      <w:r>
        <w:rPr>
          <w:rFonts w:hint="eastAsia" w:ascii="仿宋" w:hAnsi="仿宋" w:eastAsia="仿宋" w:cs="仿宋"/>
          <w:sz w:val="32"/>
          <w:szCs w:val="32"/>
          <w:lang w:val="en-US" w:eastAsia="zh-CN"/>
        </w:rPr>
        <w:t>某</w:t>
      </w:r>
      <w:r>
        <w:rPr>
          <w:rFonts w:hint="eastAsia" w:ascii="仿宋" w:hAnsi="仿宋" w:eastAsia="仿宋" w:cs="仿宋"/>
          <w:sz w:val="32"/>
          <w:szCs w:val="32"/>
        </w:rPr>
        <w:t xml:space="preserve">珍珠店于2024年9月27日表示同意退货退款，但拒绝赔偿，且明确拒绝调解。被申请人根据《市场监督管理投诉举报处理暂行办法》第二十一条第一款第（三）项和第二十一条第二款之规定，于2024年9月29日通过12345平台将调解结果告知申请人，符合法定程序。  </w:t>
      </w:r>
    </w:p>
    <w:p w14:paraId="3046D61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关于申请人举报事项，被申请人于2024年9月25日进行案源登记。后被申请人于2024年9月27日对被举报人姑苏区</w:t>
      </w:r>
      <w:r>
        <w:rPr>
          <w:rFonts w:hint="eastAsia" w:ascii="仿宋" w:hAnsi="仿宋" w:eastAsia="仿宋" w:cs="仿宋"/>
          <w:sz w:val="32"/>
          <w:szCs w:val="32"/>
          <w:lang w:val="en-US" w:eastAsia="zh-CN"/>
        </w:rPr>
        <w:t>某</w:t>
      </w:r>
      <w:r>
        <w:rPr>
          <w:rFonts w:hint="eastAsia" w:ascii="仿宋" w:hAnsi="仿宋" w:eastAsia="仿宋" w:cs="仿宋"/>
          <w:sz w:val="32"/>
          <w:szCs w:val="32"/>
        </w:rPr>
        <w:t>珍珠店进行现场检查，经现场检查，现场确实销售有涉案产品“珍珠粉”。针对该珍珠粉功效宣传的举报，经现场检查未发现针对该珍珠粉的功效宣传，且举报人提供的证据材料中也未发现商家进行了相关功效宣传。另</w:t>
      </w:r>
      <w:r>
        <w:rPr>
          <w:rFonts w:ascii="仿宋" w:hAnsi="仿宋" w:eastAsia="仿宋" w:cs="仿宋"/>
          <w:sz w:val="32"/>
          <w:szCs w:val="32"/>
        </w:rPr>
        <w:t>,根据《市场监督管理投诉举报处理暂行办法》第二十四条第一款，申请人未能提供被举报人针对珍珠粉功效宣传的具体违法线索</w:t>
      </w:r>
      <w:r>
        <w:rPr>
          <w:rFonts w:hint="eastAsia" w:ascii="仿宋" w:hAnsi="仿宋" w:eastAsia="仿宋" w:cs="仿宋"/>
          <w:sz w:val="32"/>
          <w:szCs w:val="32"/>
        </w:rPr>
        <w:t>，不符合《市场监督管理行政处罚程序规定》第十九条规定的立案条件</w:t>
      </w:r>
      <w:r>
        <w:rPr>
          <w:rFonts w:ascii="仿宋" w:hAnsi="仿宋" w:eastAsia="仿宋" w:cs="仿宋"/>
          <w:sz w:val="32"/>
          <w:szCs w:val="32"/>
        </w:rPr>
        <w:t>。</w:t>
      </w:r>
      <w:r>
        <w:rPr>
          <w:rFonts w:hint="eastAsia" w:ascii="仿宋" w:hAnsi="仿宋" w:eastAsia="仿宋" w:cs="仿宋"/>
          <w:sz w:val="32"/>
          <w:szCs w:val="32"/>
        </w:rPr>
        <w:t>另针对该产品外包装上无任何使用说明、生产商家、联系电话等的举报，经核查情况属实。针对涉案产品“珍珠粉”没有标识标签的情况，据被申请人调查，被投诉举报人所销售的珍珠粉，系从养殖户处购买，为养殖户通过对养殖珍珠进行直接粉碎而得，未改变其自然和化学性质，虽然被投诉举报人从未主动宣称过该珍珠粉的可食用性，但根据《卫生部关于进一步规范保健食品原料管理的通知》（卫法监发[2002]51号），珍珠为可用于保健食品的物品，且经百度百科查询，珍珠粉的用途可作为食品。根据《中华人民共和国农产品质量安全法》第二条和《食用农产品市场销售质量安全监督管理办法》第四十九条之规定，被申请人初步认定该珍珠粉为食用农产品，细分类别为渔业类——水产综合利用初加工品，对于该珍珠粉的标识标签，按照食用农产品相关法律法规进行规制。被申请人于2024年9月27日对</w:t>
      </w:r>
      <w:r>
        <w:rPr>
          <w:rFonts w:hint="eastAsia" w:ascii="仿宋" w:hAnsi="仿宋" w:eastAsia="仿宋" w:cs="仿宋"/>
          <w:sz w:val="32"/>
          <w:szCs w:val="32"/>
          <w:lang w:eastAsia="zh-CN"/>
        </w:rPr>
        <w:t>姑苏区某珍珠店</w:t>
      </w:r>
      <w:r>
        <w:rPr>
          <w:rFonts w:hint="eastAsia" w:ascii="仿宋" w:hAnsi="仿宋" w:eastAsia="仿宋" w:cs="仿宋"/>
          <w:sz w:val="32"/>
          <w:szCs w:val="32"/>
        </w:rPr>
        <w:t>开具责令改正通知书（姑苏市监责改字〔2024〕092701号），要求其下架涉案珍珠粉，并进行整改。</w:t>
      </w:r>
      <w:r>
        <w:rPr>
          <w:rFonts w:hint="eastAsia" w:ascii="仿宋" w:hAnsi="仿宋" w:eastAsia="仿宋" w:cs="仿宋"/>
          <w:sz w:val="32"/>
          <w:szCs w:val="32"/>
          <w:lang w:eastAsia="zh-CN"/>
        </w:rPr>
        <w:t>姑苏区某珍珠店</w:t>
      </w:r>
      <w:r>
        <w:rPr>
          <w:rFonts w:hint="eastAsia" w:ascii="仿宋" w:hAnsi="仿宋" w:eastAsia="仿宋" w:cs="仿宋"/>
          <w:sz w:val="32"/>
          <w:szCs w:val="32"/>
        </w:rPr>
        <w:t>于2024年9月27日下架涉案产品“珍珠粉”。针对涉案产品最终查证</w:t>
      </w:r>
      <w:r>
        <w:rPr>
          <w:rFonts w:hint="eastAsia" w:ascii="仿宋" w:hAnsi="仿宋" w:eastAsia="仿宋" w:cs="仿宋"/>
          <w:sz w:val="32"/>
          <w:szCs w:val="32"/>
          <w:lang w:eastAsia="zh-CN"/>
        </w:rPr>
        <w:t>姑苏区某珍珠店</w:t>
      </w:r>
      <w:r>
        <w:rPr>
          <w:rFonts w:hint="eastAsia" w:ascii="仿宋" w:hAnsi="仿宋" w:eastAsia="仿宋" w:cs="仿宋"/>
          <w:sz w:val="32"/>
          <w:szCs w:val="32"/>
        </w:rPr>
        <w:t xml:space="preserve">所售“珍珠粉”没有标识标签。被举报人所售涉案产品“珍珠粉”不符合《食用农产品市场销售质量安全监督管理办法》第十二条的规定。根据该办法第四十条之规定，被申请人对被投诉举报人开具责令改正通知书,被投诉举报人已当场下架上述珍珠粉，并表示不再销售。 </w:t>
      </w:r>
    </w:p>
    <w:p w14:paraId="2DF64FA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市场监督管理行政处罚程序规定》第十八条和第二十条第一款第（一）项规定，被申请人于2024年9月27日经上级领导批准决定不予立案，符合法定程序。根据《市场监督管理投诉举报处理暂行办法》第三十一条第二款的相关规定，被申请人于2024年9月29日通过12345平台将责令被举报人进行整改，不予立案情况向申请人进行告知，符合法定程序。</w:t>
      </w:r>
    </w:p>
    <w:p w14:paraId="16F5E06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另,针对被举报人采购涉案珍珠粉未能提供进货凭证和供货者等有关信息的情况，违反了《食用农产品市场销售质量安全监督管理办法》第八条第一款的规定。根据《食用农产品市场销售质量安全监督管理办法》第三十九条第（一）项和《中华人民共和国食品安全法》第一百二十六条第一款的规定，被申请人对被投诉举报人开具责令改正通知书并给与警告，被投诉举报人已当场下架上述珍珠粉，并表示不再销售。</w:t>
      </w:r>
    </w:p>
    <w:p w14:paraId="207A9AE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法律虽然规定了公民、法人或者其他组织享有投诉、举报的权利，行政主管部门有在法定期限内履行答复的义务，但是并未规定投诉举报人有作成或加重对被举报人处罚的请求权。就本案申请人提出行政复议陈述的事实和理由、复议请求来看，其原因并非被申请人未在法定期限内履行查处职责，其目的是意图作成对被举报人的处罚。故其请求缺乏法律、法规依据，也与事实不符。综上所述，被申请人依法处理申请人的投诉和举报，认定事实清楚，证据确凿充分，适用法律正确，裁量适当，履职正确，程序合法，不存在违法行为，恳请复议机关维持被申请人的行政处理行为。</w:t>
      </w:r>
    </w:p>
    <w:p w14:paraId="6850920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被申请人提供的证据：1.12345政务服务便民热线工单及流转信息、投诉举报材料、申请人通过邮箱提交举报材料截图；2.案件来源登记表、不予立案审批表；3.被投诉举报人营业执照复印件及经营者身份证复印件；4</w:t>
      </w:r>
      <w:r>
        <w:rPr>
          <w:rFonts w:ascii="仿宋" w:hAnsi="仿宋" w:eastAsia="仿宋" w:cs="仿宋"/>
          <w:sz w:val="32"/>
          <w:szCs w:val="32"/>
        </w:rPr>
        <w:t>.</w:t>
      </w:r>
      <w:r>
        <w:rPr>
          <w:rFonts w:hint="eastAsia" w:ascii="仿宋" w:hAnsi="仿宋" w:eastAsia="仿宋" w:cs="仿宋"/>
          <w:sz w:val="32"/>
          <w:szCs w:val="32"/>
        </w:rPr>
        <w:t>现场笔录及证据提取单、询问笔录；5.责令改正通知书及送达回证、当场行政处罚决定书；6.《卫生部关于进一步规范保健食品原料管理的通知》（卫法监发[2002]51号）网页打印件；7.涉案产品下架照片；8.</w:t>
      </w:r>
      <w:r>
        <w:rPr>
          <w:rFonts w:hint="eastAsia" w:ascii="仿宋" w:hAnsi="仿宋" w:eastAsia="仿宋" w:cs="仿宋"/>
          <w:sz w:val="32"/>
          <w:szCs w:val="32"/>
          <w:lang w:eastAsia="zh-CN"/>
        </w:rPr>
        <w:t>姑苏区某珍珠店</w:t>
      </w:r>
      <w:r>
        <w:rPr>
          <w:rFonts w:hint="eastAsia" w:ascii="仿宋" w:hAnsi="仿宋" w:eastAsia="仿宋" w:cs="仿宋"/>
          <w:sz w:val="32"/>
          <w:szCs w:val="32"/>
        </w:rPr>
        <w:t>出具的情况说明；9.投诉和举报处理电话录音及录音转文字材料。</w:t>
      </w:r>
    </w:p>
    <w:p w14:paraId="32EFFBF6">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经审理查明：</w:t>
      </w:r>
    </w:p>
    <w:p w14:paraId="7A78AA2D">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2024年9月25日，申请人通过12345平台向被申请人投诉举报（工单编号HLW</w:t>
      </w:r>
      <w:r>
        <w:rPr>
          <w:rFonts w:ascii="仿宋" w:hAnsi="仿宋" w:eastAsia="仿宋" w:cs="仿宋"/>
          <w:sz w:val="32"/>
          <w:szCs w:val="32"/>
        </w:rPr>
        <w:t>000024092501579</w:t>
      </w:r>
      <w:r>
        <w:rPr>
          <w:rFonts w:hint="eastAsia" w:ascii="仿宋" w:hAnsi="仿宋" w:eastAsia="仿宋" w:cs="仿宋"/>
          <w:sz w:val="32"/>
          <w:szCs w:val="32"/>
        </w:rPr>
        <w:t>），反映其于2024年9月22日在</w:t>
      </w:r>
      <w:r>
        <w:rPr>
          <w:rFonts w:hint="eastAsia" w:ascii="仿宋" w:hAnsi="仿宋" w:eastAsia="仿宋" w:cs="仿宋"/>
          <w:sz w:val="32"/>
          <w:szCs w:val="32"/>
          <w:lang w:eastAsia="zh-CN"/>
        </w:rPr>
        <w:t>姑苏区某珍珠店</w:t>
      </w:r>
      <w:r>
        <w:rPr>
          <w:rFonts w:hint="eastAsia" w:ascii="仿宋" w:hAnsi="仿宋" w:eastAsia="仿宋" w:cs="仿宋"/>
          <w:sz w:val="32"/>
          <w:szCs w:val="32"/>
        </w:rPr>
        <w:t xml:space="preserve">花费25元购买到“珍珠粉”一包，商家宣传说该产品可以药用，也可以作为化妆品使用，用以达到美容养颜，调节气血的功效，其查询后发现珍珠粉无宣传功效且该产品外包装上无任何使用说明、生产商家、联系电话等，属于严重的三无产品，侵害其合法利益，要求商家退一赔十。同日，被申请人进行案源登记。 </w:t>
      </w:r>
    </w:p>
    <w:p w14:paraId="4D300750">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针对申请人的投诉，被申请人于2</w:t>
      </w:r>
      <w:r>
        <w:rPr>
          <w:rFonts w:ascii="仿宋" w:hAnsi="仿宋" w:eastAsia="仿宋" w:cs="仿宋"/>
          <w:sz w:val="32"/>
          <w:szCs w:val="32"/>
        </w:rPr>
        <w:t>024</w:t>
      </w:r>
      <w:r>
        <w:rPr>
          <w:rFonts w:hint="eastAsia" w:ascii="仿宋" w:hAnsi="仿宋" w:eastAsia="仿宋" w:cs="仿宋"/>
          <w:sz w:val="32"/>
          <w:szCs w:val="32"/>
        </w:rPr>
        <w:t>年9月26日受理该投诉并通过电话将受理情况告知了申请人。因被投诉人于2024年9月27日出具情况说明，表示同意退货退款，但拒绝赔偿，且拒绝调解。被申请人终止调解，并于2024年9月29日通过12345平台短信告知申请人终止调解。</w:t>
      </w:r>
    </w:p>
    <w:p w14:paraId="4CC4B5D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针对申请人的举报，被申请人执法人员于2024年9月27日至被举报人住所地进行现场检查，经查，被举报人店内设置有若干货柜和货架，主要售卖珍珠项链、珍珠手链等珍珠饰品，其中东侧墙壁里侧货架放有“珍珠粉”约2</w:t>
      </w:r>
      <w:r>
        <w:rPr>
          <w:rFonts w:ascii="仿宋" w:hAnsi="仿宋" w:eastAsia="仿宋" w:cs="仿宋"/>
          <w:sz w:val="32"/>
          <w:szCs w:val="32"/>
        </w:rPr>
        <w:t>0</w:t>
      </w:r>
      <w:r>
        <w:rPr>
          <w:rFonts w:hint="eastAsia" w:ascii="仿宋" w:hAnsi="仿宋" w:eastAsia="仿宋" w:cs="仿宋"/>
          <w:sz w:val="32"/>
          <w:szCs w:val="32"/>
        </w:rPr>
        <w:t>包，均用透明包装袋封装，包装袋上无任何标识标签，该“珍珠粉”商品前摆放有价格标签“</w:t>
      </w:r>
      <w:r>
        <w:rPr>
          <w:rFonts w:hint="eastAsia" w:ascii="Calibri" w:hAnsi="Calibri" w:eastAsia="仿宋" w:cs="Calibri"/>
          <w:sz w:val="32"/>
          <w:szCs w:val="32"/>
        </w:rPr>
        <w:t>¥</w:t>
      </w:r>
      <w:r>
        <w:rPr>
          <w:rFonts w:hint="eastAsia" w:ascii="仿宋" w:hAnsi="仿宋" w:eastAsia="仿宋" w:cs="仿宋"/>
          <w:sz w:val="32"/>
          <w:szCs w:val="32"/>
        </w:rPr>
        <w:t>2</w:t>
      </w:r>
      <w:r>
        <w:rPr>
          <w:rFonts w:ascii="仿宋" w:hAnsi="仿宋" w:eastAsia="仿宋" w:cs="仿宋"/>
          <w:sz w:val="32"/>
          <w:szCs w:val="32"/>
        </w:rPr>
        <w:t>0</w:t>
      </w:r>
      <w:r>
        <w:rPr>
          <w:rFonts w:hint="eastAsia" w:ascii="仿宋" w:hAnsi="仿宋" w:eastAsia="仿宋" w:cs="仿宋"/>
          <w:sz w:val="32"/>
          <w:szCs w:val="32"/>
        </w:rPr>
        <w:t>”，无其他宣传标识。同日，被申请人对被举报人经营者</w:t>
      </w:r>
      <w:r>
        <w:rPr>
          <w:rFonts w:hint="eastAsia" w:ascii="仿宋" w:hAnsi="仿宋" w:eastAsia="仿宋" w:cs="仿宋"/>
          <w:sz w:val="32"/>
          <w:szCs w:val="32"/>
          <w:lang w:eastAsia="zh-CN"/>
        </w:rPr>
        <w:t>徐某某</w:t>
      </w:r>
      <w:r>
        <w:rPr>
          <w:rFonts w:hint="eastAsia" w:ascii="仿宋" w:hAnsi="仿宋" w:eastAsia="仿宋" w:cs="仿宋"/>
          <w:sz w:val="32"/>
          <w:szCs w:val="32"/>
        </w:rPr>
        <w:t>进行了询问调查。</w:t>
      </w:r>
      <w:r>
        <w:rPr>
          <w:rFonts w:hint="eastAsia" w:ascii="仿宋" w:hAnsi="仿宋" w:eastAsia="仿宋" w:cs="仿宋"/>
          <w:sz w:val="32"/>
          <w:szCs w:val="32"/>
          <w:lang w:eastAsia="zh-CN"/>
        </w:rPr>
        <w:t>徐某某</w:t>
      </w:r>
      <w:r>
        <w:rPr>
          <w:rFonts w:hint="eastAsia" w:ascii="仿宋" w:hAnsi="仿宋" w:eastAsia="仿宋" w:cs="仿宋"/>
          <w:sz w:val="32"/>
          <w:szCs w:val="32"/>
        </w:rPr>
        <w:t>称，申请人提供的证据材料（1份视频、3张照片）属实，被举报人销售的“珍珠粉”包装确无标签标识，被举报人销售“珍珠粉”时并未宣传过珍珠粉的药用等功效；“珍珠粉”是渭塘的珍珠养殖户自己磨的，被举报人9月初从珍珠养殖户处进购了约3</w:t>
      </w:r>
      <w:r>
        <w:rPr>
          <w:rFonts w:ascii="仿宋" w:hAnsi="仿宋" w:eastAsia="仿宋" w:cs="仿宋"/>
          <w:sz w:val="32"/>
          <w:szCs w:val="32"/>
        </w:rPr>
        <w:t>5</w:t>
      </w:r>
      <w:r>
        <w:rPr>
          <w:rFonts w:hint="eastAsia" w:ascii="仿宋" w:hAnsi="仿宋" w:eastAsia="仿宋" w:cs="仿宋"/>
          <w:sz w:val="32"/>
          <w:szCs w:val="32"/>
        </w:rPr>
        <w:t>包“珍珠粉”，进货价约5元一包，均系现金支付，没有进货单据，共销售了1包，其余自用了；现场检查时被举报人就将剩余“珍珠粉”下架了，以后不会再销售案涉产品；也未有消费者反映过珍珠粉的危害。</w:t>
      </w:r>
    </w:p>
    <w:p w14:paraId="0FD260CB">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卫生部关于进一步规范保健食品原料管理的通知》（卫法监发[2002]51号），珍珠在可用于保健食品的物品名单中。被申请人结合《卫生部关于进一步规范保健食品原料管理的通知》（卫法监发[2002]51号）、《中华人民共和国农产品质量安全法》第二条、《食用农产品市场销售质量安全监督管理办法》第四十九条之规定，认定案涉“珍珠粉”为食用农产品。被申请人认为被举报人销售的珍珠粉产品无标识标签的行为，违反《食用农产品市场销售质量安全监督管理办法》第十二条之规定，依据该法第四十条之规定，被申请人责令被举报人立即改正，下架产品并整改。被举报人已于当日下架了案涉产品，并表示不再销售。关于申请人提出的案涉产品外包装上无任何使用说明、生产商家、联系电话等，属于三无产品的举报事项，被申请人认为被举报人违法行为轻微并及时改正，没有造成危害后果，符合</w:t>
      </w:r>
      <w:r>
        <w:rPr>
          <w:rFonts w:ascii="仿宋" w:hAnsi="仿宋" w:eastAsia="仿宋" w:cs="仿宋"/>
          <w:sz w:val="32"/>
          <w:szCs w:val="32"/>
        </w:rPr>
        <w:t>《市场监督管理行政处罚程序规定》第二十条第一款第（一）项规定</w:t>
      </w:r>
      <w:r>
        <w:rPr>
          <w:rFonts w:hint="eastAsia" w:ascii="仿宋" w:hAnsi="仿宋" w:eastAsia="仿宋" w:cs="仿宋"/>
          <w:sz w:val="32"/>
          <w:szCs w:val="32"/>
        </w:rPr>
        <w:t>的情形。关于申请人提出的案涉产品无被举报人所宣传功效的举报事项，被申请人经现场检查未发现被举报人对“珍珠粉”的功效宣传，且申请人提供的证据材料中也未发现商家进行了相关功效宣传，被申请人认为申请人未提供该违法行为的初步证据，不符合《市场监督管理行政处罚程序规定》第十九条规定的立案条件。</w:t>
      </w:r>
      <w:r>
        <w:rPr>
          <w:rFonts w:ascii="仿宋" w:hAnsi="仿宋" w:eastAsia="仿宋" w:cs="仿宋"/>
          <w:sz w:val="32"/>
          <w:szCs w:val="32"/>
        </w:rPr>
        <w:t>2024年9月27日</w:t>
      </w:r>
      <w:r>
        <w:rPr>
          <w:rFonts w:hint="eastAsia" w:ascii="仿宋" w:hAnsi="仿宋" w:eastAsia="仿宋" w:cs="仿宋"/>
          <w:sz w:val="32"/>
          <w:szCs w:val="32"/>
        </w:rPr>
        <w:t>，被申请人</w:t>
      </w:r>
      <w:r>
        <w:rPr>
          <w:rFonts w:ascii="仿宋" w:hAnsi="仿宋" w:eastAsia="仿宋" w:cs="仿宋"/>
          <w:sz w:val="32"/>
          <w:szCs w:val="32"/>
        </w:rPr>
        <w:t>经</w:t>
      </w:r>
      <w:r>
        <w:rPr>
          <w:rFonts w:hint="eastAsia" w:ascii="仿宋" w:hAnsi="仿宋" w:eastAsia="仿宋" w:cs="仿宋"/>
          <w:sz w:val="32"/>
          <w:szCs w:val="32"/>
        </w:rPr>
        <w:t>办案机构负责人以及部门负责人审批</w:t>
      </w:r>
      <w:r>
        <w:rPr>
          <w:rFonts w:ascii="仿宋" w:hAnsi="仿宋" w:eastAsia="仿宋" w:cs="仿宋"/>
          <w:sz w:val="32"/>
          <w:szCs w:val="32"/>
        </w:rPr>
        <w:t>决定不予立案</w:t>
      </w:r>
      <w:r>
        <w:rPr>
          <w:rFonts w:hint="eastAsia" w:ascii="仿宋" w:hAnsi="仿宋" w:eastAsia="仿宋" w:cs="仿宋"/>
          <w:sz w:val="32"/>
          <w:szCs w:val="32"/>
        </w:rPr>
        <w:t>。2</w:t>
      </w:r>
      <w:r>
        <w:rPr>
          <w:rFonts w:ascii="仿宋" w:hAnsi="仿宋" w:eastAsia="仿宋" w:cs="仿宋"/>
          <w:sz w:val="32"/>
          <w:szCs w:val="32"/>
        </w:rPr>
        <w:t>024</w:t>
      </w:r>
      <w:r>
        <w:rPr>
          <w:rFonts w:hint="eastAsia" w:ascii="仿宋" w:hAnsi="仿宋" w:eastAsia="仿宋" w:cs="仿宋"/>
          <w:sz w:val="32"/>
          <w:szCs w:val="32"/>
        </w:rPr>
        <w:t>年9月2</w:t>
      </w:r>
      <w:r>
        <w:rPr>
          <w:rFonts w:ascii="仿宋" w:hAnsi="仿宋" w:eastAsia="仿宋" w:cs="仿宋"/>
          <w:sz w:val="32"/>
          <w:szCs w:val="32"/>
        </w:rPr>
        <w:t>9</w:t>
      </w:r>
      <w:r>
        <w:rPr>
          <w:rFonts w:hint="eastAsia" w:ascii="仿宋" w:hAnsi="仿宋" w:eastAsia="仿宋" w:cs="仿宋"/>
          <w:sz w:val="32"/>
          <w:szCs w:val="32"/>
        </w:rPr>
        <w:t>日，被申请人</w:t>
      </w:r>
      <w:r>
        <w:rPr>
          <w:rFonts w:ascii="仿宋" w:hAnsi="仿宋" w:eastAsia="仿宋" w:cs="仿宋"/>
          <w:sz w:val="32"/>
          <w:szCs w:val="32"/>
        </w:rPr>
        <w:t>通过12345平台</w:t>
      </w:r>
      <w:r>
        <w:rPr>
          <w:rFonts w:hint="eastAsia" w:ascii="仿宋" w:hAnsi="仿宋" w:eastAsia="仿宋" w:cs="仿宋"/>
          <w:sz w:val="32"/>
          <w:szCs w:val="32"/>
        </w:rPr>
        <w:t>短信告知申请人不予立案的决定及理由。</w:t>
      </w:r>
    </w:p>
    <w:p w14:paraId="392329E2">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另，被申请人认为被举报人采购珍珠粉未能提供进货凭证和供货者有关信息的行为，违反了《食用农产品市场销售质量安全监督管理办法》第八条第一款之规定，依据《食用农产品市场销售质量安全监督管理办法》第三十九条第（一）项和《中华人民共和国食品安全法》第一百二十六条第一款之规定，被申请人对被举报人作出姑苏市监当罚〔2024〕</w:t>
      </w:r>
      <w:r>
        <w:rPr>
          <w:rFonts w:ascii="仿宋" w:hAnsi="仿宋" w:eastAsia="仿宋" w:cs="仿宋"/>
          <w:sz w:val="32"/>
          <w:szCs w:val="32"/>
        </w:rPr>
        <w:t>0927001</w:t>
      </w:r>
      <w:r>
        <w:rPr>
          <w:rFonts w:hint="eastAsia" w:ascii="仿宋" w:hAnsi="仿宋" w:eastAsia="仿宋" w:cs="仿宋"/>
          <w:sz w:val="32"/>
          <w:szCs w:val="32"/>
        </w:rPr>
        <w:t>号当场行政处罚决定书，责令被举报人改正违法行为，并给予警告处罚。</w:t>
      </w:r>
    </w:p>
    <w:p w14:paraId="5F25D00A">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以上事实有下列证据证明：1.支付记录截图；2.案涉商品照片；3.苏州市1</w:t>
      </w:r>
      <w:r>
        <w:rPr>
          <w:rFonts w:ascii="仿宋" w:hAnsi="仿宋" w:eastAsia="仿宋" w:cs="仿宋"/>
          <w:sz w:val="32"/>
          <w:szCs w:val="32"/>
        </w:rPr>
        <w:t>2345</w:t>
      </w:r>
      <w:r>
        <w:rPr>
          <w:rFonts w:hint="eastAsia" w:ascii="仿宋" w:hAnsi="仿宋" w:eastAsia="仿宋" w:cs="仿宋"/>
          <w:sz w:val="32"/>
          <w:szCs w:val="32"/>
        </w:rPr>
        <w:t>平台短信回复截图；</w:t>
      </w:r>
      <w:r>
        <w:rPr>
          <w:rFonts w:ascii="仿宋" w:hAnsi="仿宋" w:eastAsia="仿宋" w:cs="仿宋"/>
          <w:sz w:val="32"/>
          <w:szCs w:val="32"/>
        </w:rPr>
        <w:t>4</w:t>
      </w:r>
      <w:r>
        <w:rPr>
          <w:rFonts w:hint="eastAsia" w:ascii="仿宋" w:hAnsi="仿宋" w:eastAsia="仿宋" w:cs="仿宋"/>
          <w:sz w:val="32"/>
          <w:szCs w:val="32"/>
        </w:rPr>
        <w:t>.12345</w:t>
      </w:r>
      <w:bookmarkStart w:id="0" w:name="_Hlk184065944"/>
      <w:r>
        <w:rPr>
          <w:rFonts w:hint="eastAsia" w:ascii="仿宋" w:hAnsi="仿宋" w:eastAsia="仿宋" w:cs="仿宋"/>
          <w:sz w:val="32"/>
          <w:szCs w:val="32"/>
        </w:rPr>
        <w:t>政务服务便民热线工单</w:t>
      </w:r>
      <w:bookmarkEnd w:id="0"/>
      <w:r>
        <w:rPr>
          <w:rFonts w:hint="eastAsia" w:ascii="仿宋" w:hAnsi="仿宋" w:eastAsia="仿宋" w:cs="仿宋"/>
          <w:sz w:val="32"/>
          <w:szCs w:val="32"/>
        </w:rPr>
        <w:t>及流转信息、投诉举报材料、申请人通过邮箱提交举报材料截图；</w:t>
      </w:r>
      <w:r>
        <w:rPr>
          <w:rFonts w:ascii="仿宋" w:hAnsi="仿宋" w:eastAsia="仿宋" w:cs="仿宋"/>
          <w:sz w:val="32"/>
          <w:szCs w:val="32"/>
        </w:rPr>
        <w:t>5</w:t>
      </w:r>
      <w:r>
        <w:rPr>
          <w:rFonts w:hint="eastAsia" w:ascii="仿宋" w:hAnsi="仿宋" w:eastAsia="仿宋" w:cs="仿宋"/>
          <w:sz w:val="32"/>
          <w:szCs w:val="32"/>
        </w:rPr>
        <w:t>.案件来源登记表、不予立案审批表；</w:t>
      </w:r>
      <w:r>
        <w:rPr>
          <w:rFonts w:ascii="仿宋" w:hAnsi="仿宋" w:eastAsia="仿宋" w:cs="仿宋"/>
          <w:sz w:val="32"/>
          <w:szCs w:val="32"/>
        </w:rPr>
        <w:t>6</w:t>
      </w:r>
      <w:r>
        <w:rPr>
          <w:rFonts w:hint="eastAsia" w:ascii="仿宋" w:hAnsi="仿宋" w:eastAsia="仿宋" w:cs="仿宋"/>
          <w:sz w:val="32"/>
          <w:szCs w:val="32"/>
        </w:rPr>
        <w:t>.被投诉举报人营业执照复印件及经营者身份证复印件；</w:t>
      </w:r>
      <w:r>
        <w:rPr>
          <w:rFonts w:ascii="仿宋" w:hAnsi="仿宋" w:eastAsia="仿宋" w:cs="仿宋"/>
          <w:sz w:val="32"/>
          <w:szCs w:val="32"/>
        </w:rPr>
        <w:t>7.</w:t>
      </w:r>
      <w:r>
        <w:rPr>
          <w:rFonts w:hint="eastAsia" w:ascii="仿宋" w:hAnsi="仿宋" w:eastAsia="仿宋" w:cs="仿宋"/>
          <w:sz w:val="32"/>
          <w:szCs w:val="32"/>
        </w:rPr>
        <w:t>现场笔录及证据提取单、询问笔录；</w:t>
      </w:r>
      <w:r>
        <w:rPr>
          <w:rFonts w:ascii="仿宋" w:hAnsi="仿宋" w:eastAsia="仿宋" w:cs="仿宋"/>
          <w:sz w:val="32"/>
          <w:szCs w:val="32"/>
        </w:rPr>
        <w:t>8</w:t>
      </w:r>
      <w:r>
        <w:rPr>
          <w:rFonts w:hint="eastAsia" w:ascii="仿宋" w:hAnsi="仿宋" w:eastAsia="仿宋" w:cs="仿宋"/>
          <w:sz w:val="32"/>
          <w:szCs w:val="32"/>
        </w:rPr>
        <w:t>.责令改正通知书及送达回证、当场行政处罚决定书；</w:t>
      </w:r>
      <w:r>
        <w:rPr>
          <w:rFonts w:ascii="仿宋" w:hAnsi="仿宋" w:eastAsia="仿宋" w:cs="仿宋"/>
          <w:sz w:val="32"/>
          <w:szCs w:val="32"/>
        </w:rPr>
        <w:t>9</w:t>
      </w:r>
      <w:r>
        <w:rPr>
          <w:rFonts w:hint="eastAsia" w:ascii="仿宋" w:hAnsi="仿宋" w:eastAsia="仿宋" w:cs="仿宋"/>
          <w:sz w:val="32"/>
          <w:szCs w:val="32"/>
        </w:rPr>
        <w:t>.《卫生部关于进一步规范保健食品原料管理的通知》（卫法监发[2002]51号）网页打印件；</w:t>
      </w:r>
      <w:r>
        <w:rPr>
          <w:rFonts w:ascii="仿宋" w:hAnsi="仿宋" w:eastAsia="仿宋" w:cs="仿宋"/>
          <w:sz w:val="32"/>
          <w:szCs w:val="32"/>
        </w:rPr>
        <w:t>10</w:t>
      </w:r>
      <w:r>
        <w:rPr>
          <w:rFonts w:hint="eastAsia" w:ascii="仿宋" w:hAnsi="仿宋" w:eastAsia="仿宋" w:cs="仿宋"/>
          <w:sz w:val="32"/>
          <w:szCs w:val="32"/>
        </w:rPr>
        <w:t>.涉案产品下架照片；</w:t>
      </w:r>
      <w:r>
        <w:rPr>
          <w:rFonts w:ascii="仿宋" w:hAnsi="仿宋" w:eastAsia="仿宋" w:cs="仿宋"/>
          <w:sz w:val="32"/>
          <w:szCs w:val="32"/>
        </w:rPr>
        <w:t>11</w:t>
      </w:r>
      <w:r>
        <w:rPr>
          <w:rFonts w:hint="eastAsia" w:ascii="仿宋" w:hAnsi="仿宋" w:eastAsia="仿宋" w:cs="仿宋"/>
          <w:sz w:val="32"/>
          <w:szCs w:val="32"/>
        </w:rPr>
        <w:t>.情况说明；</w:t>
      </w:r>
      <w:r>
        <w:rPr>
          <w:rFonts w:ascii="仿宋" w:hAnsi="仿宋" w:eastAsia="仿宋" w:cs="仿宋"/>
          <w:sz w:val="32"/>
          <w:szCs w:val="32"/>
        </w:rPr>
        <w:t>12</w:t>
      </w:r>
      <w:r>
        <w:rPr>
          <w:rFonts w:hint="eastAsia" w:ascii="仿宋" w:hAnsi="仿宋" w:eastAsia="仿宋" w:cs="仿宋"/>
          <w:sz w:val="32"/>
          <w:szCs w:val="32"/>
        </w:rPr>
        <w:t>.电话录音及录音转文字材料。</w:t>
      </w:r>
    </w:p>
    <w:p w14:paraId="60FE586C">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本机关认为：</w:t>
      </w:r>
    </w:p>
    <w:p w14:paraId="35768C1A">
      <w:pPr>
        <w:widowControl/>
        <w:shd w:val="clear" w:color="auto" w:fill="FFFFFF"/>
        <w:overflowPunct w:val="0"/>
        <w:adjustRightInd w:val="0"/>
        <w:snapToGrid w:val="0"/>
        <w:spacing w:line="576" w:lineRule="exact"/>
        <w:ind w:firstLine="640" w:firstLineChars="200"/>
        <w:rPr>
          <w:rFonts w:ascii="仿宋" w:hAnsi="仿宋" w:eastAsia="仿宋" w:cs="仿宋"/>
          <w:sz w:val="32"/>
          <w:szCs w:val="32"/>
        </w:rPr>
      </w:pPr>
      <w:r>
        <w:rPr>
          <w:rFonts w:hint="eastAsia" w:ascii="仿宋" w:hAnsi="仿宋" w:eastAsia="仿宋" w:cs="仿宋"/>
          <w:sz w:val="32"/>
          <w:szCs w:val="32"/>
        </w:rPr>
        <w:t>根据《市场监督管理投诉举报处理暂行办法》第四条第二款规定，县级以上地方市场监督管理部门负责本行政区域内的投诉举报处理工作。被申请人具有本行政区域内的投诉举报处理职权。</w:t>
      </w:r>
    </w:p>
    <w:p w14:paraId="545E8103">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案中，针对申请人的投诉，被申请人于2024年9月25日收到该投诉，于次日决定受理该投诉并通过电话告知了申请人，符合《市场监督管理投诉举报处理暂行办法》第十四条之规定。因被投诉人明确拒绝调解，被申请人终止调解，并于2024年9月29日通过12345平台短信告知申请人终止调解，符合《市场监督管理投诉举报处理暂行办法》第二十一条之规定。</w:t>
      </w:r>
    </w:p>
    <w:p w14:paraId="4399489E">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针对申请人的举报，被申请人经现场检查及询问调查，查明被举报人销售的珍珠粉产品无标识标签，案涉产品系被举报人从养殖户处购买，为养殖户对养殖珍珠进行直接粉碎而得。根据《卫生部关于进一步规范保健食品原料管理的通知》（卫法监发[2002]51号），珍珠在可用于保健食品的物品名单中。被申请人根据该通知以及《中华人民共和国农产品质量安全法》第二条、《食用农产品市场销售质量安全监督管理办法》第四十九条之规定，认定案涉“珍珠粉”为食用农产品。被申请人认为被举报人销售的珍珠粉产品无标识标签的行为，违反《食用农产品市场销售质量安全监督管理办法》第十二条之规定，依据该法第四十条之规定，被申请人责令被举报人立即改正，下架产品并整改。被举报人已于当日下架了案涉珍珠粉产品，并表示不再销售。关于申请人提出的案涉产品外包装上无任何使用说明、生产商家、联系电话等，属于三无产品的举报事项，被申请人认为被举报人违法行为轻微并及时改正，没有造成危害后果，故依据</w:t>
      </w:r>
      <w:r>
        <w:rPr>
          <w:rFonts w:ascii="仿宋" w:hAnsi="仿宋" w:eastAsia="仿宋" w:cs="仿宋"/>
          <w:sz w:val="32"/>
          <w:szCs w:val="32"/>
        </w:rPr>
        <w:t>《市场监督管理行政处罚程序规定》第二十条第一款第（一）项</w:t>
      </w:r>
      <w:r>
        <w:rPr>
          <w:rFonts w:hint="eastAsia" w:ascii="仿宋" w:hAnsi="仿宋" w:eastAsia="仿宋" w:cs="仿宋"/>
          <w:sz w:val="32"/>
          <w:szCs w:val="32"/>
        </w:rPr>
        <w:t>之</w:t>
      </w:r>
      <w:r>
        <w:rPr>
          <w:rFonts w:ascii="仿宋" w:hAnsi="仿宋" w:eastAsia="仿宋" w:cs="仿宋"/>
          <w:sz w:val="32"/>
          <w:szCs w:val="32"/>
        </w:rPr>
        <w:t>规定</w:t>
      </w:r>
      <w:r>
        <w:rPr>
          <w:rFonts w:hint="eastAsia" w:ascii="仿宋" w:hAnsi="仿宋" w:eastAsia="仿宋" w:cs="仿宋"/>
          <w:sz w:val="32"/>
          <w:szCs w:val="32"/>
        </w:rPr>
        <w:t>决定不予立案，适用法律正确。关于申请人提出的案涉产品无宣传功效的举报，因申请人未提供存在违法行为的初步证据，被申请人认为不符合《市场监督管理行政处罚程序规定》第十九条规定的立案条件，决定不予立案，适用法律正确。被申请人于2024年9月25日收到申请人的举报，于2024年9月27日决定不予立案，并于2024年9月29日通过12345平台短信告知申请人不予立案结果，符合《市场监督管理行政处罚程序规定》第十八条及《市场监督管理投诉举报处理暂行办法》第三十一条第二款的规定，程序合法。关于被举报人未能提供涉案珍珠粉的进货凭证和供货者等有关信息的问题，被申请人认为违反了《食用农产品市场销售质量安全监督管理办法》第八条第一款之规定，根据《食用农产品市场销售质量安全监督管理办法》第三十九条第（一）项和《中华人民共和国食品安全法》第一百二十六条第一款之规定，责令被举报人改正并当场给予警告，符合法律规定，被申请人已经当场作出行政处罚，无需再行立案。</w:t>
      </w:r>
    </w:p>
    <w:p w14:paraId="74C7E06F">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综上，根据《中华人民共和国行政复议法》第六十八条之规定，本机关决定如下：</w:t>
      </w:r>
    </w:p>
    <w:p w14:paraId="5CF7B669">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维持苏州市姑苏区市场监督管理局作出的不予立案决定和对编号为HLW</w:t>
      </w:r>
      <w:r>
        <w:rPr>
          <w:rFonts w:ascii="仿宋" w:hAnsi="仿宋" w:eastAsia="仿宋" w:cs="仿宋"/>
          <w:sz w:val="32"/>
          <w:szCs w:val="32"/>
        </w:rPr>
        <w:t>000024092501579</w:t>
      </w:r>
      <w:r>
        <w:rPr>
          <w:rFonts w:hint="eastAsia" w:ascii="仿宋" w:hAnsi="仿宋" w:eastAsia="仿宋" w:cs="仿宋"/>
          <w:sz w:val="32"/>
          <w:szCs w:val="32"/>
        </w:rPr>
        <w:t>的1</w:t>
      </w:r>
      <w:r>
        <w:rPr>
          <w:rFonts w:ascii="仿宋" w:hAnsi="仿宋" w:eastAsia="仿宋" w:cs="仿宋"/>
          <w:sz w:val="32"/>
          <w:szCs w:val="32"/>
        </w:rPr>
        <w:t>2345</w:t>
      </w:r>
      <w:r>
        <w:rPr>
          <w:rFonts w:hint="eastAsia" w:ascii="仿宋" w:hAnsi="仿宋" w:eastAsia="仿宋" w:cs="仿宋"/>
          <w:sz w:val="32"/>
          <w:szCs w:val="32"/>
        </w:rPr>
        <w:t>政务服务便民热线工单作出的回复。</w:t>
      </w:r>
    </w:p>
    <w:p w14:paraId="464347B7">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申请人如对本决定不服，可以自收到本决定书之日起15日内依法向人民法院提起行政诉讼。</w:t>
      </w:r>
    </w:p>
    <w:p w14:paraId="22F9931D">
      <w:pPr>
        <w:spacing w:line="560" w:lineRule="exact"/>
        <w:ind w:firstLine="640" w:firstLineChars="200"/>
        <w:rPr>
          <w:rFonts w:ascii="仿宋" w:hAnsi="仿宋" w:eastAsia="仿宋" w:cs="仿宋"/>
          <w:sz w:val="32"/>
          <w:szCs w:val="32"/>
        </w:rPr>
      </w:pPr>
    </w:p>
    <w:p w14:paraId="5DCECDDB">
      <w:pPr>
        <w:spacing w:line="560" w:lineRule="exact"/>
        <w:ind w:firstLine="640" w:firstLineChars="200"/>
        <w:jc w:val="right"/>
        <w:rPr>
          <w:rFonts w:ascii="仿宋" w:hAnsi="仿宋" w:eastAsia="仿宋" w:cs="仿宋"/>
          <w:sz w:val="32"/>
          <w:szCs w:val="32"/>
        </w:rPr>
      </w:pPr>
      <w:bookmarkStart w:id="1" w:name="_GoBack"/>
      <w:bookmarkEnd w:id="1"/>
    </w:p>
    <w:sectPr>
      <w:footerReference r:id="rId3" w:type="default"/>
      <w:pgSz w:w="11906" w:h="16838"/>
      <w:pgMar w:top="2041" w:right="1531" w:bottom="192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701E3">
    <w:pPr>
      <w:ind w:firstLine="4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F9108C">
                          <w:pPr>
                            <w:pStyle w:val="5"/>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7F9108C">
                    <w:pPr>
                      <w:pStyle w:val="5"/>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w:t>
                    </w:r>
                  </w:p>
                </w:txbxContent>
              </v:textbox>
            </v:shape>
          </w:pict>
        </mc:Fallback>
      </mc:AlternateContent>
    </w:r>
  </w:p>
  <w:p w14:paraId="058358DC">
    <w:pPr>
      <w:pStyle w:val="5"/>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NmYTg1MzM1OWFlOWYyYzM0YTRmYzM0MmIzMDQ1OGQifQ=="/>
  </w:docVars>
  <w:rsids>
    <w:rsidRoot w:val="00E61681"/>
    <w:rsid w:val="00021F94"/>
    <w:rsid w:val="00023151"/>
    <w:rsid w:val="0004360F"/>
    <w:rsid w:val="000466D6"/>
    <w:rsid w:val="00046FB0"/>
    <w:rsid w:val="00054D92"/>
    <w:rsid w:val="000579F1"/>
    <w:rsid w:val="000604E3"/>
    <w:rsid w:val="00061E42"/>
    <w:rsid w:val="00071A89"/>
    <w:rsid w:val="0007485A"/>
    <w:rsid w:val="000873F0"/>
    <w:rsid w:val="000904AD"/>
    <w:rsid w:val="000A18C8"/>
    <w:rsid w:val="000B5DAB"/>
    <w:rsid w:val="000D6CE6"/>
    <w:rsid w:val="00120E55"/>
    <w:rsid w:val="00127A16"/>
    <w:rsid w:val="001318B4"/>
    <w:rsid w:val="001473DD"/>
    <w:rsid w:val="001473F1"/>
    <w:rsid w:val="0018607E"/>
    <w:rsid w:val="0018739D"/>
    <w:rsid w:val="0019178D"/>
    <w:rsid w:val="001A1DE6"/>
    <w:rsid w:val="001B0269"/>
    <w:rsid w:val="001C7B0C"/>
    <w:rsid w:val="001D455F"/>
    <w:rsid w:val="001D6D9F"/>
    <w:rsid w:val="001F5492"/>
    <w:rsid w:val="00212824"/>
    <w:rsid w:val="00213372"/>
    <w:rsid w:val="0022577A"/>
    <w:rsid w:val="00240D70"/>
    <w:rsid w:val="002558EE"/>
    <w:rsid w:val="002627D4"/>
    <w:rsid w:val="002B5C74"/>
    <w:rsid w:val="002B6CDF"/>
    <w:rsid w:val="002F1E9C"/>
    <w:rsid w:val="003061E8"/>
    <w:rsid w:val="00306E9C"/>
    <w:rsid w:val="003254FE"/>
    <w:rsid w:val="00327BD5"/>
    <w:rsid w:val="00344345"/>
    <w:rsid w:val="00354AB1"/>
    <w:rsid w:val="00363EA4"/>
    <w:rsid w:val="0036400D"/>
    <w:rsid w:val="003752C8"/>
    <w:rsid w:val="003847E5"/>
    <w:rsid w:val="003C48F5"/>
    <w:rsid w:val="003D0B6A"/>
    <w:rsid w:val="003D1092"/>
    <w:rsid w:val="003E1D11"/>
    <w:rsid w:val="003F7B3D"/>
    <w:rsid w:val="004177F9"/>
    <w:rsid w:val="00426A02"/>
    <w:rsid w:val="0045478D"/>
    <w:rsid w:val="00465302"/>
    <w:rsid w:val="0049696A"/>
    <w:rsid w:val="004C474C"/>
    <w:rsid w:val="004D21E5"/>
    <w:rsid w:val="004D6398"/>
    <w:rsid w:val="004E08CC"/>
    <w:rsid w:val="004E7658"/>
    <w:rsid w:val="004E7B7B"/>
    <w:rsid w:val="004F738A"/>
    <w:rsid w:val="00502A18"/>
    <w:rsid w:val="00502C81"/>
    <w:rsid w:val="005118B0"/>
    <w:rsid w:val="00531865"/>
    <w:rsid w:val="0054016B"/>
    <w:rsid w:val="00544C52"/>
    <w:rsid w:val="00546D13"/>
    <w:rsid w:val="00557C77"/>
    <w:rsid w:val="00597104"/>
    <w:rsid w:val="005A7844"/>
    <w:rsid w:val="005D107F"/>
    <w:rsid w:val="005F029B"/>
    <w:rsid w:val="005F1B30"/>
    <w:rsid w:val="005F7BDB"/>
    <w:rsid w:val="00600F10"/>
    <w:rsid w:val="00602702"/>
    <w:rsid w:val="00620DD9"/>
    <w:rsid w:val="00623DCE"/>
    <w:rsid w:val="00646DC1"/>
    <w:rsid w:val="00650B23"/>
    <w:rsid w:val="00654F4B"/>
    <w:rsid w:val="00661121"/>
    <w:rsid w:val="00694368"/>
    <w:rsid w:val="006B46FF"/>
    <w:rsid w:val="006C610C"/>
    <w:rsid w:val="006E0AB4"/>
    <w:rsid w:val="006E2C45"/>
    <w:rsid w:val="00717685"/>
    <w:rsid w:val="00732498"/>
    <w:rsid w:val="00742F8B"/>
    <w:rsid w:val="00746960"/>
    <w:rsid w:val="00760DDB"/>
    <w:rsid w:val="007734E2"/>
    <w:rsid w:val="00775F69"/>
    <w:rsid w:val="00777220"/>
    <w:rsid w:val="00781644"/>
    <w:rsid w:val="00784AA7"/>
    <w:rsid w:val="0078696B"/>
    <w:rsid w:val="00794919"/>
    <w:rsid w:val="007A5EA2"/>
    <w:rsid w:val="007C5C52"/>
    <w:rsid w:val="007E6B75"/>
    <w:rsid w:val="007E7C79"/>
    <w:rsid w:val="00800DEE"/>
    <w:rsid w:val="00824D36"/>
    <w:rsid w:val="008545D8"/>
    <w:rsid w:val="00857675"/>
    <w:rsid w:val="0086062B"/>
    <w:rsid w:val="00862BFA"/>
    <w:rsid w:val="008746FE"/>
    <w:rsid w:val="00877CD3"/>
    <w:rsid w:val="00882BEE"/>
    <w:rsid w:val="008A25A2"/>
    <w:rsid w:val="008F589E"/>
    <w:rsid w:val="00907AB7"/>
    <w:rsid w:val="00940962"/>
    <w:rsid w:val="009439B2"/>
    <w:rsid w:val="0097323A"/>
    <w:rsid w:val="00984293"/>
    <w:rsid w:val="00985EE4"/>
    <w:rsid w:val="009A43A1"/>
    <w:rsid w:val="009D5CF2"/>
    <w:rsid w:val="009E0952"/>
    <w:rsid w:val="009E3B05"/>
    <w:rsid w:val="009E4285"/>
    <w:rsid w:val="00A0485C"/>
    <w:rsid w:val="00A13258"/>
    <w:rsid w:val="00A24CFD"/>
    <w:rsid w:val="00A300DD"/>
    <w:rsid w:val="00A37771"/>
    <w:rsid w:val="00A41808"/>
    <w:rsid w:val="00A64F81"/>
    <w:rsid w:val="00A85367"/>
    <w:rsid w:val="00A86F16"/>
    <w:rsid w:val="00A90729"/>
    <w:rsid w:val="00A9094C"/>
    <w:rsid w:val="00A923AC"/>
    <w:rsid w:val="00AC3BEB"/>
    <w:rsid w:val="00AD40F1"/>
    <w:rsid w:val="00B21DE8"/>
    <w:rsid w:val="00B422BA"/>
    <w:rsid w:val="00B426FA"/>
    <w:rsid w:val="00B56D1D"/>
    <w:rsid w:val="00B717DE"/>
    <w:rsid w:val="00B7260F"/>
    <w:rsid w:val="00B87C86"/>
    <w:rsid w:val="00BB2278"/>
    <w:rsid w:val="00BB5A2F"/>
    <w:rsid w:val="00BD3AA5"/>
    <w:rsid w:val="00BD716F"/>
    <w:rsid w:val="00BF78F0"/>
    <w:rsid w:val="00C25F24"/>
    <w:rsid w:val="00C43B1C"/>
    <w:rsid w:val="00C46EBB"/>
    <w:rsid w:val="00C6283B"/>
    <w:rsid w:val="00C83075"/>
    <w:rsid w:val="00C85E84"/>
    <w:rsid w:val="00C96E23"/>
    <w:rsid w:val="00CC486C"/>
    <w:rsid w:val="00CD4CBF"/>
    <w:rsid w:val="00CE1F0B"/>
    <w:rsid w:val="00D422D9"/>
    <w:rsid w:val="00D50390"/>
    <w:rsid w:val="00D5499E"/>
    <w:rsid w:val="00D90F1D"/>
    <w:rsid w:val="00D96EBC"/>
    <w:rsid w:val="00DB35E3"/>
    <w:rsid w:val="00DB4FD7"/>
    <w:rsid w:val="00DD2BAD"/>
    <w:rsid w:val="00DE3F11"/>
    <w:rsid w:val="00E229FF"/>
    <w:rsid w:val="00E61681"/>
    <w:rsid w:val="00E95432"/>
    <w:rsid w:val="00EC3A17"/>
    <w:rsid w:val="00EF0FBD"/>
    <w:rsid w:val="00EF571E"/>
    <w:rsid w:val="00F234FF"/>
    <w:rsid w:val="00F3501E"/>
    <w:rsid w:val="00F60C03"/>
    <w:rsid w:val="00F77734"/>
    <w:rsid w:val="00F90B1F"/>
    <w:rsid w:val="00FA3D67"/>
    <w:rsid w:val="00FA4514"/>
    <w:rsid w:val="00FA47B6"/>
    <w:rsid w:val="00FB2B16"/>
    <w:rsid w:val="00FB688F"/>
    <w:rsid w:val="00FE4C24"/>
    <w:rsid w:val="027715A0"/>
    <w:rsid w:val="02DF39F5"/>
    <w:rsid w:val="02DF57A3"/>
    <w:rsid w:val="03395C06"/>
    <w:rsid w:val="03F4527E"/>
    <w:rsid w:val="04D72BD5"/>
    <w:rsid w:val="07434552"/>
    <w:rsid w:val="07941252"/>
    <w:rsid w:val="07A50D69"/>
    <w:rsid w:val="07C5140B"/>
    <w:rsid w:val="087F780C"/>
    <w:rsid w:val="0A6C3DC0"/>
    <w:rsid w:val="0B1A381C"/>
    <w:rsid w:val="0CA35A93"/>
    <w:rsid w:val="10463305"/>
    <w:rsid w:val="113118BF"/>
    <w:rsid w:val="12132094"/>
    <w:rsid w:val="121A67F7"/>
    <w:rsid w:val="133438E9"/>
    <w:rsid w:val="13750189"/>
    <w:rsid w:val="13936861"/>
    <w:rsid w:val="13BA5B9C"/>
    <w:rsid w:val="143040B0"/>
    <w:rsid w:val="156758B0"/>
    <w:rsid w:val="15A703A2"/>
    <w:rsid w:val="15EC2259"/>
    <w:rsid w:val="16C84A74"/>
    <w:rsid w:val="17991F6C"/>
    <w:rsid w:val="17F43647"/>
    <w:rsid w:val="1C6A2129"/>
    <w:rsid w:val="1C817B9F"/>
    <w:rsid w:val="1D750D86"/>
    <w:rsid w:val="1DCC4DD2"/>
    <w:rsid w:val="1EBF050A"/>
    <w:rsid w:val="1EF65EF6"/>
    <w:rsid w:val="20A57BD4"/>
    <w:rsid w:val="22602004"/>
    <w:rsid w:val="228F28EA"/>
    <w:rsid w:val="243878F9"/>
    <w:rsid w:val="24975A86"/>
    <w:rsid w:val="25761B3F"/>
    <w:rsid w:val="25D16D75"/>
    <w:rsid w:val="26284BE7"/>
    <w:rsid w:val="26D13E71"/>
    <w:rsid w:val="26EC20B9"/>
    <w:rsid w:val="275F0ADD"/>
    <w:rsid w:val="277D71B5"/>
    <w:rsid w:val="2832107C"/>
    <w:rsid w:val="28DE0127"/>
    <w:rsid w:val="29F01EC0"/>
    <w:rsid w:val="2A9A007E"/>
    <w:rsid w:val="2BDD2887"/>
    <w:rsid w:val="2C1A3224"/>
    <w:rsid w:val="2CA415F7"/>
    <w:rsid w:val="2D144117"/>
    <w:rsid w:val="2D40759D"/>
    <w:rsid w:val="2F0C331C"/>
    <w:rsid w:val="2FA95D26"/>
    <w:rsid w:val="30AC4667"/>
    <w:rsid w:val="33016EEC"/>
    <w:rsid w:val="342015F4"/>
    <w:rsid w:val="34945B3E"/>
    <w:rsid w:val="34FD7B87"/>
    <w:rsid w:val="356D20BC"/>
    <w:rsid w:val="36A77DAA"/>
    <w:rsid w:val="37377380"/>
    <w:rsid w:val="398E6FFF"/>
    <w:rsid w:val="39DE1D35"/>
    <w:rsid w:val="3AEC66D3"/>
    <w:rsid w:val="3C8B7826"/>
    <w:rsid w:val="3CEA4E04"/>
    <w:rsid w:val="3D986A99"/>
    <w:rsid w:val="3E3C527C"/>
    <w:rsid w:val="3E4F33A1"/>
    <w:rsid w:val="3EAB2402"/>
    <w:rsid w:val="3F0D6C18"/>
    <w:rsid w:val="3FC71432"/>
    <w:rsid w:val="406F051B"/>
    <w:rsid w:val="40A35A86"/>
    <w:rsid w:val="40E35E83"/>
    <w:rsid w:val="41920F50"/>
    <w:rsid w:val="41D34149"/>
    <w:rsid w:val="42B775C7"/>
    <w:rsid w:val="434150E2"/>
    <w:rsid w:val="43BE6733"/>
    <w:rsid w:val="43E02B4D"/>
    <w:rsid w:val="44710ED3"/>
    <w:rsid w:val="44782D86"/>
    <w:rsid w:val="46DA7D28"/>
    <w:rsid w:val="4743767B"/>
    <w:rsid w:val="482E20D9"/>
    <w:rsid w:val="49CB1BAA"/>
    <w:rsid w:val="4B643EDA"/>
    <w:rsid w:val="4B9344DE"/>
    <w:rsid w:val="4BF21670"/>
    <w:rsid w:val="4C912C37"/>
    <w:rsid w:val="4E720846"/>
    <w:rsid w:val="4F9503E2"/>
    <w:rsid w:val="4FD86DCF"/>
    <w:rsid w:val="501C6CBB"/>
    <w:rsid w:val="50C80BE8"/>
    <w:rsid w:val="524B3888"/>
    <w:rsid w:val="52AB0E03"/>
    <w:rsid w:val="52E15F9A"/>
    <w:rsid w:val="547F00D0"/>
    <w:rsid w:val="55376345"/>
    <w:rsid w:val="55B87486"/>
    <w:rsid w:val="562D6300"/>
    <w:rsid w:val="56630BCA"/>
    <w:rsid w:val="567349DC"/>
    <w:rsid w:val="56B476CF"/>
    <w:rsid w:val="571E5A0F"/>
    <w:rsid w:val="5818420C"/>
    <w:rsid w:val="58256929"/>
    <w:rsid w:val="5B296730"/>
    <w:rsid w:val="5B835E40"/>
    <w:rsid w:val="5D152C9F"/>
    <w:rsid w:val="5D7C523D"/>
    <w:rsid w:val="5E2C27BF"/>
    <w:rsid w:val="5E744166"/>
    <w:rsid w:val="5E7E6D93"/>
    <w:rsid w:val="5E9345EC"/>
    <w:rsid w:val="5F0C25F1"/>
    <w:rsid w:val="60373B64"/>
    <w:rsid w:val="609A1581"/>
    <w:rsid w:val="637C7D45"/>
    <w:rsid w:val="646507D9"/>
    <w:rsid w:val="64E64153"/>
    <w:rsid w:val="65841133"/>
    <w:rsid w:val="65D57BE0"/>
    <w:rsid w:val="666D7E19"/>
    <w:rsid w:val="66E16111"/>
    <w:rsid w:val="676E7F4F"/>
    <w:rsid w:val="677156E7"/>
    <w:rsid w:val="68437083"/>
    <w:rsid w:val="697E3C4B"/>
    <w:rsid w:val="699928D2"/>
    <w:rsid w:val="69BB673C"/>
    <w:rsid w:val="6A7833B8"/>
    <w:rsid w:val="6AD00976"/>
    <w:rsid w:val="6B827EC3"/>
    <w:rsid w:val="6B9B0F84"/>
    <w:rsid w:val="6BCA43AC"/>
    <w:rsid w:val="6BD6020E"/>
    <w:rsid w:val="6E510020"/>
    <w:rsid w:val="6ED07197"/>
    <w:rsid w:val="6FBD3BBF"/>
    <w:rsid w:val="6FC767EC"/>
    <w:rsid w:val="70235E7F"/>
    <w:rsid w:val="702F613F"/>
    <w:rsid w:val="706E4EB9"/>
    <w:rsid w:val="71600CA6"/>
    <w:rsid w:val="722C0B88"/>
    <w:rsid w:val="72345C8F"/>
    <w:rsid w:val="72874010"/>
    <w:rsid w:val="739104AD"/>
    <w:rsid w:val="743106D8"/>
    <w:rsid w:val="74493C73"/>
    <w:rsid w:val="75063912"/>
    <w:rsid w:val="751167B5"/>
    <w:rsid w:val="75355FA6"/>
    <w:rsid w:val="76F854DD"/>
    <w:rsid w:val="775070C7"/>
    <w:rsid w:val="775A6197"/>
    <w:rsid w:val="77CB4ADD"/>
    <w:rsid w:val="791D747D"/>
    <w:rsid w:val="79295E21"/>
    <w:rsid w:val="79C8563A"/>
    <w:rsid w:val="7BDC53CD"/>
    <w:rsid w:val="7C466CEA"/>
    <w:rsid w:val="7C492337"/>
    <w:rsid w:val="7CB974BC"/>
    <w:rsid w:val="7DD16A88"/>
    <w:rsid w:val="7EA47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semiHidden/>
    <w:qFormat/>
    <w:uiPriority w:val="0"/>
    <w:rPr>
      <w:rFonts w:ascii="宋体" w:hAnsi="宋体" w:eastAsia="宋体" w:cs="宋体"/>
      <w:sz w:val="27"/>
      <w:szCs w:val="27"/>
      <w:lang w:eastAsia="en-US"/>
    </w:rPr>
  </w:style>
  <w:style w:type="paragraph" w:styleId="4">
    <w:name w:val="Balloon Text"/>
    <w:basedOn w:val="1"/>
    <w:link w:val="13"/>
    <w:qFormat/>
    <w:uiPriority w:val="0"/>
    <w:rPr>
      <w:rFonts w:ascii="宋体" w:eastAsia="宋体"/>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9">
    <w:name w:val="annotation subject"/>
    <w:basedOn w:val="2"/>
    <w:next w:val="2"/>
    <w:link w:val="17"/>
    <w:qFormat/>
    <w:uiPriority w:val="0"/>
    <w:rPr>
      <w:b/>
      <w:bCs/>
    </w:rPr>
  </w:style>
  <w:style w:type="character" w:styleId="12">
    <w:name w:val="annotation reference"/>
    <w:basedOn w:val="11"/>
    <w:qFormat/>
    <w:uiPriority w:val="0"/>
    <w:rPr>
      <w:sz w:val="21"/>
      <w:szCs w:val="21"/>
    </w:rPr>
  </w:style>
  <w:style w:type="character" w:customStyle="1" w:styleId="13">
    <w:name w:val="批注框文本 字符"/>
    <w:basedOn w:val="11"/>
    <w:link w:val="4"/>
    <w:qFormat/>
    <w:uiPriority w:val="0"/>
    <w:rPr>
      <w:rFonts w:ascii="宋体" w:hAnsiTheme="minorHAnsi" w:cstheme="minorBidi"/>
      <w:kern w:val="2"/>
      <w:sz w:val="18"/>
      <w:szCs w:val="18"/>
    </w:rPr>
  </w:style>
  <w:style w:type="paragraph" w:customStyle="1" w:styleId="14">
    <w:name w:val="Table Text"/>
    <w:basedOn w:val="1"/>
    <w:semiHidden/>
    <w:qFormat/>
    <w:uiPriority w:val="0"/>
    <w:rPr>
      <w:rFonts w:ascii="宋体" w:hAnsi="宋体" w:eastAsia="宋体" w:cs="宋体"/>
      <w:sz w:val="25"/>
      <w:szCs w:val="25"/>
      <w:lang w:eastAsia="en-US"/>
    </w:rPr>
  </w:style>
  <w:style w:type="table" w:customStyle="1" w:styleId="15">
    <w:name w:val="Table Normal"/>
    <w:semiHidden/>
    <w:unhideWhenUsed/>
    <w:qFormat/>
    <w:uiPriority w:val="0"/>
    <w:tblPr>
      <w:tblCellMar>
        <w:top w:w="0" w:type="dxa"/>
        <w:left w:w="0" w:type="dxa"/>
        <w:bottom w:w="0" w:type="dxa"/>
        <w:right w:w="0" w:type="dxa"/>
      </w:tblCellMar>
    </w:tblPr>
  </w:style>
  <w:style w:type="character" w:customStyle="1" w:styleId="16">
    <w:name w:val="批注文字 字符"/>
    <w:basedOn w:val="11"/>
    <w:link w:val="2"/>
    <w:qFormat/>
    <w:uiPriority w:val="0"/>
    <w:rPr>
      <w:rFonts w:asciiTheme="minorHAnsi" w:hAnsiTheme="minorHAnsi" w:eastAsiaTheme="minorEastAsia" w:cstheme="minorBidi"/>
      <w:kern w:val="2"/>
      <w:sz w:val="21"/>
      <w:szCs w:val="22"/>
    </w:rPr>
  </w:style>
  <w:style w:type="character" w:customStyle="1" w:styleId="17">
    <w:name w:val="批注主题 字符"/>
    <w:basedOn w:val="16"/>
    <w:link w:val="9"/>
    <w:qFormat/>
    <w:uiPriority w:val="0"/>
    <w:rPr>
      <w:rFonts w:asciiTheme="minorHAnsi" w:hAnsiTheme="minorHAnsi" w:eastAsiaTheme="minorEastAsia" w:cstheme="minorBidi"/>
      <w:b/>
      <w:bCs/>
      <w:kern w:val="2"/>
      <w:sz w:val="21"/>
      <w:szCs w:val="22"/>
    </w:rPr>
  </w:style>
  <w:style w:type="character" w:customStyle="1" w:styleId="18">
    <w:name w:val="页眉 字符"/>
    <w:basedOn w:val="11"/>
    <w:link w:val="6"/>
    <w:qFormat/>
    <w:uiPriority w:val="0"/>
    <w:rPr>
      <w:rFonts w:asciiTheme="minorHAnsi" w:hAnsiTheme="minorHAnsi" w:eastAsiaTheme="minorEastAsia" w:cstheme="minorBidi"/>
      <w:kern w:val="2"/>
      <w:sz w:val="18"/>
      <w:szCs w:val="18"/>
    </w:rPr>
  </w:style>
  <w:style w:type="paragraph" w:styleId="1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911</Words>
  <Characters>5198</Characters>
  <Lines>43</Lines>
  <Paragraphs>12</Paragraphs>
  <TotalTime>82</TotalTime>
  <ScaleCrop>false</ScaleCrop>
  <LinksUpToDate>false</LinksUpToDate>
  <CharactersWithSpaces>6097</CharactersWithSpaces>
  <Application>WPS Office_12.8.2.18913_F1E327BC-269C-435d-A152-05C5408002CA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2024-12-03T01:29:00Z</dcterms:created>
  <dc:creator>VIP-001</dc:creator>
  <cp:lastModifiedBy>admin</cp:lastModifiedBy>
  <cp:lastPrinted>2024-12-03T02:47:00Z</cp:lastPrinted>
  <dcterms:modified xsi:type="dcterms:W3CDTF">2025-04-02T08:47:09Z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2052-12.8.2.18913</vt:lpwstr>
  </property>
  <property fmtid="{D5CDD505-2E9C-101B-9397-08002B2CF9AE}" pid="3" name="ICV">
    <vt:lpwstr>337BE79DE8EB47C39022DA1D73696879_13</vt:lpwstr>
  </property>
</Properties>
</file>